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2"/>
        <w:jc w:val="center"/>
        <w:spacing w:line="276" w:lineRule="auto"/>
        <w:widowControl w:val="off"/>
        <w:tabs>
          <w:tab w:val="left" w:pos="0" w:leader="none"/>
          <w:tab w:val="clear" w:pos="709" w:leader="none"/>
          <w:tab w:val="left" w:pos="2410" w:leader="none"/>
          <w:tab w:val="left" w:pos="7215" w:leader="none"/>
        </w:tabs>
        <w:rPr>
          <w:rFonts w:ascii="Calibri" w:hAnsi="Calibri" w:cs="Times New Roman"/>
          <w:b/>
          <w:color w:val="000000" w:themeColor="text1"/>
          <w:u w:val="single"/>
          <w:lang w:eastAsia="pt-BR"/>
        </w:rPr>
      </w:pPr>
      <w:r>
        <w:rPr>
          <w:rFonts w:ascii="Calibri" w:hAnsi="Calibri" w:cs="Times New Roman"/>
          <w:b/>
          <w:color w:val="000000" w:themeColor="text1"/>
          <w:u w:val="single"/>
          <w:lang w:eastAsia="pt-BR"/>
        </w:rPr>
        <w:t xml:space="preserve">MINUTA DE TERMO DE REFERÊNCIA</w:t>
      </w:r>
      <w:r>
        <w:rPr>
          <w:rFonts w:ascii="Calibri" w:hAnsi="Calibri" w:cs="Times New Roman"/>
          <w:b/>
          <w:color w:val="000000" w:themeColor="text1"/>
          <w:u w:val="single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b/>
          <w:bCs/>
          <w:color w:val="000000" w:themeColor="text1"/>
          <w:lang w:eastAsia="pt-BR"/>
        </w:rPr>
      </w:pPr>
      <w:r>
        <w:rPr>
          <w:rFonts w:ascii="Calibri" w:hAnsi="Calibri" w:cs="Times New Roman"/>
          <w:b/>
          <w:bCs/>
          <w:color w:val="000000" w:themeColor="text1"/>
          <w:lang w:eastAsia="pt-BR"/>
        </w:rPr>
      </w:r>
      <w:r>
        <w:rPr>
          <w:rFonts w:ascii="Calibri" w:hAnsi="Calibri" w:cs="Times New Roman"/>
          <w:b/>
          <w:bCs/>
          <w:color w:val="000000" w:themeColor="text1"/>
          <w:lang w:eastAsia="pt-BR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tabs>
          <w:tab w:val="clear" w:pos="709" w:leader="none"/>
          <w:tab w:val="left" w:pos="735" w:leader="none"/>
        </w:tabs>
        <w:rPr>
          <w:color w:val="000000" w:themeColor="text1"/>
        </w:rPr>
      </w:pPr>
      <w:r>
        <w:rPr>
          <w:rFonts w:ascii="Calibri" w:hAnsi="Calibri" w:cs="Times New Roman"/>
          <w:b/>
          <w:color w:val="000000" w:themeColor="text1"/>
          <w:shd w:val="clear" w:color="auto" w:fill="dedce6"/>
          <w:lang w:eastAsia="pt-BR"/>
        </w:rPr>
        <w:t xml:space="preserve">SETOR REQUISITANTE: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tabs>
          <w:tab w:val="left" w:pos="426" w:leader="none"/>
          <w:tab w:val="clear" w:pos="709" w:leader="none"/>
        </w:tabs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 w:cs="Times New Roman"/>
          <w:b/>
          <w:color w:val="000000" w:themeColor="text1"/>
          <w:lang w:eastAsia="pt-BR"/>
        </w:rPr>
      </w:pPr>
      <w:r>
        <w:rPr>
          <w:rFonts w:ascii="Calibri" w:hAnsi="Calibri" w:cs="Times New Roman"/>
          <w:b/>
          <w:color w:val="000000" w:themeColor="text1"/>
          <w:lang w:eastAsia="pt-BR"/>
        </w:rPr>
        <w:t xml:space="preserve">Órgão:</w:t>
      </w:r>
      <w:r>
        <w:rPr>
          <w:rFonts w:ascii="Calibri" w:hAnsi="Calibri" w:cs="Times New Roman"/>
          <w:color w:val="000000" w:themeColor="text1"/>
          <w:lang w:eastAsia="pt-BR"/>
        </w:rPr>
        <w:t xml:space="preserve"> (Secretaria/Fundação/Agência, etc.)</w:t>
      </w:r>
      <w:r>
        <w:rPr>
          <w:rFonts w:ascii="Calibri" w:hAnsi="Calibri" w:cs="Times New Roman"/>
          <w:b/>
          <w:color w:val="000000" w:themeColor="text1"/>
          <w:lang w:eastAsia="pt-BR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 w:cs="Times New Roman"/>
          <w:b/>
          <w:color w:val="000000" w:themeColor="text1"/>
          <w:lang w:eastAsia="pt-BR"/>
        </w:rPr>
      </w:pPr>
      <w:r>
        <w:rPr>
          <w:rFonts w:ascii="Calibri" w:hAnsi="Calibri" w:cs="Times New Roman"/>
          <w:b/>
          <w:color w:val="000000" w:themeColor="text1"/>
          <w:lang w:eastAsia="pt-BR"/>
        </w:rPr>
        <w:t xml:space="preserve">Setor Requisitante: </w:t>
      </w:r>
      <w:r>
        <w:rPr>
          <w:rFonts w:ascii="Calibri" w:hAnsi="Calibri" w:cs="Times New Roman"/>
          <w:color w:val="000000" w:themeColor="text1"/>
          <w:lang w:eastAsia="pt-BR"/>
        </w:rPr>
        <w:t xml:space="preserve">(Gerência/Superintendência/etc.)</w:t>
      </w:r>
      <w:r>
        <w:rPr>
          <w:rFonts w:ascii="Calibri" w:hAnsi="Calibri" w:cs="Times New Roman"/>
          <w:b/>
          <w:color w:val="000000" w:themeColor="text1"/>
          <w:lang w:eastAsia="pt-BR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b/>
          <w:color w:val="000000" w:themeColor="text1"/>
          <w:lang w:eastAsia="pt-BR"/>
        </w:rPr>
        <w:t xml:space="preserve">Documento de Origem:</w:t>
      </w:r>
      <w:r>
        <w:rPr>
          <w:rFonts w:ascii="Calibri" w:hAnsi="Calibri" w:cs="Times New Roman"/>
          <w:color w:val="000000" w:themeColor="text1"/>
          <w:lang w:eastAsia="pt-BR"/>
        </w:rPr>
        <w:t xml:space="preserve"> (nº da SD – Solicitação de Demanda)</w:t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 w:cs="Times New Roman"/>
          <w:b/>
          <w:color w:val="000000" w:themeColor="text1"/>
          <w:lang w:eastAsia="pt-BR"/>
        </w:rPr>
      </w:pPr>
      <w:r>
        <w:rPr>
          <w:rFonts w:ascii="Calibri" w:hAnsi="Calibri" w:cs="Times New Roman"/>
          <w:b/>
          <w:color w:val="000000" w:themeColor="text1"/>
          <w:lang w:eastAsia="pt-BR"/>
        </w:rPr>
        <w:t xml:space="preserve">Processo Administrativo n°</w:t>
      </w:r>
      <w:r>
        <w:rPr>
          <w:rFonts w:ascii="Calibri" w:hAnsi="Calibri" w:cs="Times New Roman"/>
          <w:color w:val="000000" w:themeColor="text1"/>
          <w:lang w:eastAsia="pt-BR"/>
        </w:rPr>
        <w:t xml:space="preserve"> _____/202__</w:t>
      </w:r>
      <w:r>
        <w:rPr>
          <w:rFonts w:ascii="Calibri" w:hAnsi="Calibri" w:cs="Times New Roman"/>
          <w:b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color w:val="000000" w:themeColor="text1"/>
          <w:lang w:eastAsia="pt-BR"/>
        </w:rPr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numPr>
          <w:ilvl w:val="0"/>
          <w:numId w:val="1"/>
        </w:numPr>
        <w:ind w:left="737" w:right="0" w:hanging="737"/>
        <w:jc w:val="both"/>
        <w:spacing w:before="0" w:after="0" w:line="276" w:lineRule="auto"/>
        <w:widowControl/>
        <w:rPr>
          <w:rFonts w:ascii="Calibri" w:hAnsi="Calibri" w:cs="Times New Roman"/>
          <w:b/>
          <w:color w:val="000000" w:themeColor="text1"/>
          <w:highlight w:val="blue"/>
          <w:lang w:eastAsia="pt-BR"/>
        </w:rPr>
      </w:pPr>
      <w:r>
        <w:rPr>
          <w:rFonts w:ascii="Calibri" w:hAnsi="Calibri" w:cs="Times New Roman"/>
          <w:b/>
          <w:color w:val="000000" w:themeColor="text1"/>
          <w:shd w:val="clear" w:color="auto" w:fill="dedce6"/>
          <w:lang w:eastAsia="pt-BR"/>
        </w:rPr>
        <w:t xml:space="preserve">OBJETO:</w:t>
      </w:r>
      <w:r>
        <w:rPr>
          <w:rFonts w:ascii="Calibri" w:hAnsi="Calibri" w:cs="Times New Roman"/>
          <w:b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 w:cs="Times New Roman"/>
          <w:b/>
          <w:color w:val="000000" w:themeColor="text1"/>
          <w:highlight w:val="blue"/>
          <w:lang w:eastAsia="pt-BR"/>
        </w:rPr>
      </w:pPr>
      <w:r/>
      <w:r>
        <w:rPr>
          <w:rFonts w:ascii="Calibri" w:hAnsi="Calibri" w:cs="Times New Roman"/>
          <w:b/>
          <w:color w:val="000000" w:themeColor="text1"/>
          <w:highlight w:val="blue"/>
          <w:lang w:eastAsia="pt-BR"/>
        </w:rPr>
      </w:r>
    </w:p>
    <w:p>
      <w:pPr>
        <w:pStyle w:val="712"/>
        <w:ind w:left="0" w:right="0" w:firstLine="737"/>
        <w:jc w:val="both"/>
        <w:spacing w:before="0" w:after="0" w:line="276" w:lineRule="auto"/>
        <w:widowControl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color w:val="000000" w:themeColor="text1"/>
          <w:lang w:eastAsia="pt-BR"/>
        </w:rPr>
        <w:t xml:space="preserve">Descrever o objeto da contratação.</w:t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color w:val="000000" w:themeColor="text1"/>
          <w:lang w:eastAsia="pt-BR"/>
        </w:rPr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numPr>
          <w:ilvl w:val="0"/>
          <w:numId w:val="1"/>
        </w:numPr>
        <w:ind w:left="737" w:hanging="737"/>
        <w:jc w:val="both"/>
        <w:spacing w:line="276" w:lineRule="auto"/>
        <w:tabs>
          <w:tab w:val="clear" w:pos="709" w:leader="none"/>
          <w:tab w:val="left" w:pos="735" w:leader="none"/>
        </w:tabs>
        <w:rPr>
          <w:color w:val="000000" w:themeColor="text1"/>
        </w:rPr>
      </w:pPr>
      <w:r>
        <w:rPr>
          <w:rFonts w:ascii="Calibri" w:hAnsi="Calibri" w:eastAsia="Times New Roman" w:cs="Times New Roman"/>
          <w:b/>
          <w:bCs/>
          <w:color w:val="000000" w:themeColor="text1"/>
          <w:shd w:val="clear" w:color="auto" w:fill="dedce6"/>
        </w:rPr>
        <w:t xml:space="preserve">JUSTIFICATIVA DA CONTRATAÇÃO: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tabs>
          <w:tab w:val="left" w:pos="426" w:leader="none"/>
          <w:tab w:val="clear" w:pos="709" w:leader="none"/>
        </w:tabs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76" w:lineRule="auto"/>
        <w:widowControl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color w:val="000000" w:themeColor="text1"/>
          <w:lang w:eastAsia="pt-BR"/>
        </w:rPr>
        <w:t xml:space="preserve">Descrever a justificativa para a contratação.</w:t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highlight w:val="blue"/>
        </w:rPr>
      </w:pPr>
      <w:r>
        <w:rPr>
          <w:rFonts w:ascii="Calibri" w:hAnsi="Calibri"/>
          <w:color w:val="000000" w:themeColor="text1"/>
          <w:shd w:val="clear" w:color="auto" w:fill="dedce6"/>
        </w:rPr>
      </w:r>
      <w:r>
        <w:rPr>
          <w:rFonts w:ascii="Calibri" w:hAnsi="Calibri"/>
          <w:color w:val="000000" w:themeColor="text1"/>
          <w:highlight w:val="blue"/>
        </w:rPr>
      </w:r>
    </w:p>
    <w:p>
      <w:pPr>
        <w:pStyle w:val="712"/>
        <w:numPr>
          <w:ilvl w:val="0"/>
          <w:numId w:val="1"/>
        </w:numPr>
        <w:ind w:right="283" w:firstLine="0"/>
        <w:jc w:val="both"/>
        <w:spacing w:line="276" w:lineRule="auto"/>
        <w:widowControl w:val="off"/>
        <w:tabs>
          <w:tab w:val="clear" w:pos="709" w:leader="none"/>
          <w:tab w:val="left" w:pos="735" w:leader="none"/>
          <w:tab w:val="left" w:pos="7215" w:leader="none"/>
        </w:tabs>
        <w:rPr>
          <w:color w:val="000000" w:themeColor="text1"/>
        </w:rPr>
      </w:pPr>
      <w:r>
        <w:rPr>
          <w:rFonts w:ascii="Calibri" w:hAnsi="Calibri" w:cs="Times New Roman"/>
          <w:b/>
          <w:bCs/>
          <w:color w:val="000000" w:themeColor="text1"/>
          <w:shd w:val="clear" w:color="auto" w:fill="dedce6"/>
          <w:lang w:eastAsia="pt-BR"/>
        </w:rPr>
        <w:t xml:space="preserve">ESPECIFICAÇÃO DO OBJETO: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right="283" w:firstLine="0"/>
        <w:jc w:val="both"/>
        <w:spacing w:line="276" w:lineRule="auto"/>
        <w:widowControl w:val="off"/>
        <w:tabs>
          <w:tab w:val="left" w:pos="426" w:leader="none"/>
          <w:tab w:val="clear" w:pos="709" w:leader="none"/>
          <w:tab w:val="left" w:pos="7215" w:leader="none"/>
        </w:tabs>
        <w:rPr>
          <w:color w:val="000000" w:themeColor="text1"/>
        </w:rPr>
      </w:pPr>
      <w:r/>
      <w:r>
        <w:rPr>
          <w:color w:val="000000" w:themeColor="text1"/>
        </w:rPr>
      </w:r>
    </w:p>
    <w:tbl>
      <w:tblPr>
        <w:tblW w:w="9620" w:type="dxa"/>
        <w:tblInd w:w="16" w:type="dxa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680"/>
        <w:gridCol w:w="4369"/>
        <w:gridCol w:w="1070"/>
        <w:gridCol w:w="1141"/>
        <w:gridCol w:w="1190"/>
        <w:gridCol w:w="1169"/>
      </w:tblGrid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ITEM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DESCRITIVO E ESPECIFICAÇÃO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UNID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QTD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V. UNIT.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V. TOTAL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01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UND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04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R$ XX,XX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R$ XX,XX</w:t>
            </w:r>
            <w:r>
              <w:rPr>
                <w:rFonts w:ascii="Calibri" w:hAnsi="Calibri"/>
                <w:color w:val="000000" w:themeColor="text1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02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3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UNID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41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142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R$ XX,XX</w:t>
            </w:r>
            <w:r>
              <w:rPr>
                <w:rFonts w:ascii="Calibri" w:hAnsi="Calibri"/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169" w:type="dxa"/>
            <w:vAlign w:val="center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R$ XX,XX</w:t>
            </w:r>
            <w:r>
              <w:rPr>
                <w:rFonts w:ascii="Calibri" w:hAnsi="Calibri"/>
                <w:color w:val="000000" w:themeColor="text1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260" w:type="dxa"/>
            <w:textDirection w:val="lrTb"/>
            <w:noWrap w:val="false"/>
          </w:tcPr>
          <w:p>
            <w:pPr>
              <w:pStyle w:val="717"/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VALOR CONTRATUAL ESTIMADO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  <w:tc>
          <w:tcPr>
            <w:gridSpan w:val="2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359" w:type="dxa"/>
            <w:textDirection w:val="lrTb"/>
            <w:noWrap w:val="false"/>
          </w:tcPr>
          <w:p>
            <w:pPr>
              <w:pStyle w:val="712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TOTAL R$ XX,XXX</w:t>
            </w:r>
            <w:r>
              <w:rPr>
                <w:rFonts w:ascii="Calibri" w:hAnsi="Calibri"/>
                <w:b/>
                <w:bCs/>
                <w:color w:val="000000" w:themeColor="text1"/>
              </w:rPr>
            </w:r>
          </w:p>
        </w:tc>
      </w:tr>
    </w:tbl>
    <w:p>
      <w:pPr>
        <w:pStyle w:val="712"/>
        <w:jc w:val="center"/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ind w:left="737" w:hanging="737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1"/>
        </w:numPr>
        <w:ind w:left="737" w:hanging="737"/>
        <w:jc w:val="both"/>
        <w:spacing w:line="276" w:lineRule="auto"/>
        <w:tabs>
          <w:tab w:val="clear" w:pos="709" w:leader="none"/>
          <w:tab w:val="left" w:pos="735" w:leader="none"/>
        </w:tabs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  <w:t xml:space="preserve">VALOR ESTIMADO:</w:t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tabs>
          <w:tab w:val="left" w:pos="426" w:leader="none"/>
          <w:tab w:val="clear" w:pos="709" w:leader="none"/>
        </w:tabs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/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ind w:left="397" w:right="0" w:firstLine="283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 xml:space="preserve">Descrever como será definida a estimativa de preços.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b/>
          <w:bCs/>
          <w:color w:val="000000" w:themeColor="text1"/>
          <w:lang w:eastAsia="pt-BR"/>
        </w:rPr>
      </w:pPr>
      <w:r>
        <w:rPr>
          <w:rFonts w:ascii="Calibri" w:hAnsi="Calibri"/>
          <w:b/>
          <w:bCs/>
          <w:color w:val="000000" w:themeColor="text1"/>
          <w:lang w:eastAsia="pt-BR"/>
        </w:rPr>
      </w:r>
      <w:r>
        <w:rPr>
          <w:rFonts w:ascii="Calibri" w:hAnsi="Calibri"/>
          <w:b/>
          <w:bCs/>
          <w:color w:val="000000" w:themeColor="text1"/>
          <w:lang w:eastAsia="pt-BR"/>
        </w:rPr>
      </w:r>
    </w:p>
    <w:p>
      <w:pPr>
        <w:pStyle w:val="712"/>
        <w:numPr>
          <w:ilvl w:val="0"/>
          <w:numId w:val="1"/>
        </w:numPr>
        <w:ind w:left="737" w:right="0" w:hanging="737"/>
        <w:jc w:val="both"/>
        <w:spacing w:before="0" w:after="0" w:line="276" w:lineRule="auto"/>
        <w:widowControl/>
        <w:tabs>
          <w:tab w:val="clear" w:pos="709" w:leader="none"/>
          <w:tab w:val="left" w:pos="735" w:leader="none"/>
        </w:tabs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  <w:t xml:space="preserve">DOTAÇÃO ORÇAMENTÁRIA:</w:t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tabs>
          <w:tab w:val="left" w:pos="426" w:leader="none"/>
          <w:tab w:val="clear" w:pos="709" w:leader="none"/>
        </w:tabs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/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ind w:left="0" w:right="0" w:firstLine="0"/>
        <w:jc w:val="left"/>
        <w:spacing w:before="0" w:after="0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Órgão Orçamentário: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left"/>
        <w:spacing w:before="0" w:after="0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Unidade Orçamentária: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left"/>
        <w:spacing w:before="0" w:after="0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left"/>
        <w:spacing w:before="0" w:after="0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Recurso Orçamentário: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left"/>
        <w:spacing w:before="0" w:after="0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Itens: </w:t>
      </w:r>
      <w:r>
        <w:rPr>
          <w:color w:val="000000" w:themeColor="text1"/>
        </w:rPr>
      </w:r>
    </w:p>
    <w:p>
      <w:pPr>
        <w:pStyle w:val="712"/>
        <w:ind w:left="709" w:firstLine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</w:r>
      <w:r>
        <w:rPr>
          <w:rFonts w:ascii="Calibri" w:hAnsi="Calibri"/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ind w:left="0" w:right="0" w:firstLine="0"/>
        <w:jc w:val="both"/>
        <w:spacing w:before="0" w:after="0" w:line="276" w:lineRule="auto"/>
        <w:widowControl/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  <w:t xml:space="preserve">CONDIÇÕES DE HABILITAÇÃO E AVALIAÇÃO DAS PROPOSTAS:</w:t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3"/>
        <w:jc w:val="both"/>
        <w:spacing w:before="0" w:after="0" w:line="240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Para a habilitação nas licitações exigir-se-á dos interessados, com base na Lei Nº 8.666, de 21 de junho de 1993, Lei 10520/2002 e Decreto Municipal 2247/2020, o seguinte: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lang w:eastAsia="pt-BR" w:bidi="ar-SA"/>
        </w:rPr>
        <w:t xml:space="preserve">1) </w:t>
      </w:r>
      <w:r>
        <w:rPr>
          <w:rFonts w:ascii="Calibri" w:hAnsi="Calibri"/>
          <w:color w:val="000000" w:themeColor="text1"/>
          <w:lang w:eastAsia="pt-BR" w:bidi="ar-SA"/>
        </w:rPr>
        <w:t xml:space="preserve">Habilitação jurídica, qualificação econômico-financeira, regularidade fiscal e trabalhista.</w:t>
      </w:r>
      <w:r>
        <w:rPr>
          <w:color w:val="000000" w:themeColor="text1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 w:eastAsia="MS Sans Serif"/>
          <w:b/>
          <w:bCs/>
          <w:color w:val="000000" w:themeColor="text1"/>
          <w:lang w:eastAsia="pt-BR" w:bidi="ar-SA"/>
        </w:rPr>
        <w:t xml:space="preserve">2)</w:t>
      </w:r>
      <w:r>
        <w:rPr>
          <w:rFonts w:ascii="Calibri" w:hAnsi="Calibri"/>
          <w:color w:val="000000" w:themeColor="text1"/>
          <w:lang w:eastAsia="pt-BR" w:bidi="ar-SA"/>
        </w:rPr>
        <w:t xml:space="preserve"> Qualificação técnica conforme o que se segue: Comprovação de aptidão para desempenho de atividade pertinente e compatível em características, quantidades e prazos com o objeto da licitação (Atestado de Capacidade Técnica).</w:t>
      </w:r>
      <w:r>
        <w:rPr>
          <w:color w:val="000000" w:themeColor="text1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lang w:eastAsia="pt-BR" w:bidi="ar-SA"/>
        </w:rPr>
        <w:t xml:space="preserve">3)</w:t>
      </w:r>
      <w:r>
        <w:rPr>
          <w:rFonts w:ascii="Calibri" w:hAnsi="Calibri"/>
          <w:color w:val="000000" w:themeColor="text1"/>
          <w:lang w:eastAsia="pt-BR" w:bidi="ar-SA"/>
        </w:rPr>
        <w:t xml:space="preserve"> Declarações constantes do inciso VI, artigo 28 do Decreto 2247 de 03 de fevereiro de 2020:</w:t>
      </w:r>
      <w:r>
        <w:rPr>
          <w:color w:val="000000" w:themeColor="text1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lang w:eastAsia="pt-BR" w:bidi="ar-SA"/>
        </w:rPr>
        <w:t xml:space="preserve">(</w:t>
      </w:r>
      <w:r>
        <w:rPr>
          <w:rFonts w:ascii="Calibri" w:hAnsi="Calibri"/>
          <w:b/>
          <w:bCs/>
          <w:color w:val="000000" w:themeColor="text1"/>
        </w:rPr>
        <w:t xml:space="preserve">a) </w:t>
      </w:r>
      <w:r>
        <w:rPr>
          <w:rFonts w:ascii="Calibri" w:hAnsi="Calibri"/>
          <w:color w:val="000000" w:themeColor="text1"/>
        </w:rPr>
        <w:t xml:space="preserve">Declaração identificada e assinada pelo Representante Legal em atendimento ao inciso V do art. 27 da Lei 8.666/93, de que a empresa não possui em seu quadro, menores de</w:t>
      </w:r>
      <w:r>
        <w:rPr>
          <w:rFonts w:ascii="Calibri" w:hAnsi="Calibri"/>
          <w:color w:val="000000" w:themeColor="text1"/>
        </w:rPr>
        <w:t xml:space="preserve"> dezoito anos em trabalho noturno, perigoso ou insalubre, nem em qualquer tipo de trabalho menores de dezesseis anos, salvo na condição de aprendiz, a partir de quatorze anos em cumprimento ao disposto no inciso XXXIII do artigo 7º da Constituição Federal;</w:t>
      </w:r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(b) </w:t>
      </w:r>
      <w:r>
        <w:rPr>
          <w:rFonts w:ascii="Calibri" w:hAnsi="Calibri"/>
          <w:color w:val="000000" w:themeColor="text1"/>
        </w:rPr>
        <w:t xml:space="preserve">Declaração identificada e assinada pelo Representante Legal, de que não existe em seu quadro de empregados, servidor ou dirigente de órgão ou entidade contratante ou responsável pela licitação (artigo 9°, inciso III, da Lei n° 8.666/93);</w:t>
      </w:r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40" w:lineRule="auto"/>
        <w:widowControl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(c)</w:t>
      </w:r>
      <w:r>
        <w:rPr>
          <w:rFonts w:ascii="Calibri" w:hAnsi="Calibri"/>
          <w:color w:val="000000" w:themeColor="text1"/>
        </w:rPr>
        <w:t xml:space="preserve"> Declaração identificada e assinada pelo Representante Legal, de que a empresa não possui contra si, Declaração de inidoneidade</w:t>
      </w:r>
      <w:r>
        <w:rPr>
          <w:rFonts w:ascii="Calibri" w:hAnsi="Calibri"/>
          <w:b/>
          <w:color w:val="000000" w:themeColor="text1"/>
        </w:rPr>
        <w:t xml:space="preserve">, </w:t>
      </w:r>
      <w:r>
        <w:rPr>
          <w:rFonts w:ascii="Calibri" w:hAnsi="Calibri"/>
          <w:color w:val="000000" w:themeColor="text1"/>
        </w:rPr>
        <w:t xml:space="preserve">expedida em face de inexecução </w:t>
      </w:r>
      <w:r>
        <w:rPr>
          <w:rFonts w:ascii="Calibri" w:hAnsi="Calibri"/>
          <w:color w:val="000000" w:themeColor="text1"/>
          <w:lang w:eastAsia="pt-BR" w:bidi="ar-SA"/>
        </w:rPr>
        <w:t xml:space="preserve">total.</w:t>
      </w:r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40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Poderá o Setor Compras realizar declaração única, contendo as letras A, B e C do item 3.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ind w:left="0" w:right="0" w:firstLine="737"/>
        <w:jc w:val="both"/>
        <w:spacing w:before="0" w:after="0" w:line="240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A avaliação das propostas será pela Comissão de Licitação. O Licitante será responsável por todas as transações que forem efetuadas, assumindo como firmes e verdadeiras suas propostas e lances.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jc w:val="both"/>
        <w:spacing w:before="0" w:after="0" w:line="240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ind w:left="737" w:hanging="737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</w:rPr>
        <w:t xml:space="preserve">VALIDADE DA PROPOSTA</w:t>
      </w:r>
      <w:r>
        <w:rPr>
          <w:rFonts w:ascii="Calibri" w:hAnsi="Calibri"/>
          <w:b/>
          <w:bCs/>
          <w:color w:val="000000" w:themeColor="text1"/>
          <w:highlight w:val="blue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</w:rPr>
      </w:pPr>
      <w:r/>
      <w:r>
        <w:rPr>
          <w:rFonts w:ascii="Calibri" w:hAnsi="Calibri"/>
          <w:b/>
          <w:bCs/>
          <w:color w:val="000000" w:themeColor="text1"/>
          <w:highlight w:val="blue"/>
        </w:rPr>
      </w:r>
    </w:p>
    <w:p>
      <w:pPr>
        <w:pStyle w:val="712"/>
        <w:ind w:left="709" w:firstLine="0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A validade da proposta não poderá ser inferior a 60 (sessenta) dias da data do certame.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jc w:val="both"/>
        <w:spacing w:before="0" w:after="0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ind w:left="737" w:hanging="737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</w:rPr>
        <w:t xml:space="preserve">CONDIÇÕES DO RECEBIMENTO E ACEITABILIDADE DO OBJETO:</w:t>
      </w:r>
      <w:r>
        <w:rPr>
          <w:rFonts w:ascii="Calibri" w:hAnsi="Calibri"/>
          <w:b/>
          <w:bCs/>
          <w:color w:val="000000" w:themeColor="text1"/>
          <w:highlight w:val="blue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</w:rPr>
      </w:pPr>
      <w:r/>
      <w:r>
        <w:rPr>
          <w:rFonts w:ascii="Calibri" w:hAnsi="Calibri"/>
          <w:b/>
          <w:bCs/>
          <w:color w:val="000000" w:themeColor="text1"/>
          <w:highlight w:val="blue"/>
        </w:rPr>
      </w:r>
    </w:p>
    <w:p>
      <w:pPr>
        <w:pStyle w:val="712"/>
        <w:ind w:left="0" w:right="0" w:firstLine="737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A(s) fornecedora(s) classificada(s) ficará (ão) obrigada(s) a atender as ordens de fornecimento efetuadas dentro do prazo de validade do registro/contrato/carta contrato, mesmo se a entrega dos materiais ocorrer em data posterior ao seu vencimento.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Os produtos deverão vir lacrados de forma a protegê-los da ação da luz, poeira e umidade. As embalagens que apresentam violação de qualquer espécie deverão ser substituídas pelo fornecedor, ainda na fase de inspeção/recebimento.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Na entrega os produtos serão recebidos provisoriamente pelo Almoxarifado da Secretaria Municipal de Saúde, que </w:t>
      </w:r>
      <w:r>
        <w:rPr>
          <w:rFonts w:ascii="Calibri" w:hAnsi="Calibri"/>
          <w:color w:val="000000" w:themeColor="text1"/>
          <w:u w:val="single"/>
        </w:rPr>
        <w:t xml:space="preserve">fará a verificação a qualidade e quantidade e características, especificações </w:t>
      </w:r>
      <w:r>
        <w:rPr>
          <w:rFonts w:ascii="Calibri" w:hAnsi="Calibri"/>
          <w:color w:val="000000" w:themeColor="text1"/>
        </w:rPr>
        <w:t xml:space="preserve">do material.</w:t>
      </w:r>
      <w:r>
        <w:rPr>
          <w:color w:val="000000" w:themeColor="text1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O recebimento dos materiais se efetivará, em conformidade com os arts. 73 a 76 da Lei 8.666/93, mediante recibo, nos seguintes termos: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  <w:t xml:space="preserve">a)</w:t>
      </w:r>
      <w:r>
        <w:rPr>
          <w:rFonts w:ascii="Calibri" w:hAnsi="Calibri"/>
          <w:color w:val="000000" w:themeColor="text1"/>
        </w:rPr>
        <w:t xml:space="preserve"> Provisoriamente, para efeito de posterior verificação da conformidade do material com a especificação, mediante “Termo de Aceite Provisório”;</w:t>
      </w:r>
      <w:r>
        <w:rPr>
          <w:color w:val="000000" w:themeColor="text1"/>
        </w:rPr>
      </w:r>
    </w:p>
    <w:p>
      <w:pPr>
        <w:pStyle w:val="712"/>
        <w:ind w:left="0" w:right="0" w:firstLine="0"/>
        <w:jc w:val="both"/>
        <w:spacing w:before="0" w:after="0" w:line="276" w:lineRule="auto"/>
        <w:widowControl/>
        <w:rPr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ab/>
        <w:t xml:space="preserve">b) </w:t>
      </w:r>
      <w:r>
        <w:rPr>
          <w:rFonts w:ascii="Calibri" w:hAnsi="Calibri"/>
          <w:color w:val="000000" w:themeColor="text1"/>
        </w:rPr>
        <w:t xml:space="preserve">Definitivamente, após a verificação da qualidade e quantidade características, especificações do material e consequente aceitação pela equipe técnica responsável mediante “Termo de Aceite Definitivo”.</w:t>
      </w:r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76" w:lineRule="auto"/>
        <w:widowControl/>
        <w:rPr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Serão recusados os materiais que não esteja em prefeito estado e que não atendam as especificações constantes no termo de referência/edital/nota de empenho e/ou que não estejam adequados para consumo. Caso o material não seja aceito o fornecedor terá </w:t>
      </w:r>
      <w:r>
        <w:rPr>
          <w:rFonts w:ascii="Calibri" w:hAnsi="Calibri"/>
          <w:b/>
          <w:color w:val="000000" w:themeColor="text1"/>
        </w:rPr>
        <w:t xml:space="preserve">10 (dez) dias </w:t>
      </w:r>
      <w:r>
        <w:rPr>
          <w:rFonts w:ascii="Calibri" w:hAnsi="Calibri"/>
          <w:color w:val="000000" w:themeColor="text1"/>
        </w:rPr>
        <w:t xml:space="preserve">para reposição a contar da data de notificação de recusa emitida pela Secretaria Municipal de Saúde.</w:t>
      </w:r>
      <w:r>
        <w:rPr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76" w:lineRule="auto"/>
        <w:widowControl w:val="off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Os materiais deverão possuir validade mínima de 70% (setenta por cento) do prazo de validade total, a contar da data de entrega.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Relativamente ao disposto no presente tópico, aplicam-se, subsidiariamente, no que couber, as disposições da Lei n° 8.078 de 11/09/90 – Código de Defesa do Consumidor.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0" w:firstLine="737"/>
        <w:jc w:val="both"/>
        <w:spacing w:before="0" w:after="0" w:line="276" w:lineRule="auto"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  <w:lang w:eastAsia="pt-BR" w:bidi="ar-SA"/>
        </w:rPr>
        <w:t xml:space="preserve">As despesas relativas à entrega dos materiais correrão por conta exclusiva da detentora da ata/contrato/carta contrato.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b/>
          <w:bCs/>
          <w:color w:val="000000" w:themeColor="text1"/>
          <w:u w:val="single"/>
          <w:lang w:eastAsia="pt-BR" w:bidi="ar-SA"/>
        </w:rPr>
      </w:pPr>
      <w:r>
        <w:rPr>
          <w:rFonts w:ascii="Calibri" w:hAnsi="Calibri"/>
          <w:b/>
          <w:bCs/>
          <w:color w:val="000000" w:themeColor="text1"/>
          <w:u w:val="single"/>
          <w:lang w:eastAsia="pt-BR" w:bidi="ar-SA"/>
        </w:rPr>
      </w:r>
      <w:r>
        <w:rPr>
          <w:rFonts w:ascii="Calibri" w:hAnsi="Calibri"/>
          <w:b/>
          <w:bCs/>
          <w:color w:val="000000" w:themeColor="text1"/>
          <w:u w:val="single"/>
          <w:lang w:eastAsia="pt-BR" w:bidi="ar-SA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 w:bidi="ar-SA"/>
        </w:rPr>
        <w:t xml:space="preserve">PRAZO DE ENTREGA/EXECUÇÃO: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Se entrega única, o prazo de entrega será de até 30 (trinta) dias, a contar da emissão da Autorização de Fornecimento.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Se a entrega for de forma parcelada.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A cada parcela, o órgão solicitante emitirá Autorização de que será encaminhada ao Fornecedor através de correspondência ou endereço eletrônico a ser indicado pela Contratante.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color w:val="000000" w:themeColor="text1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O Prazo de entrega será no prazo máximo de 30 (trinta) dias, a contar da emissão de cada solicitação.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 w:bidi="ar-SA"/>
        </w:rPr>
        <w:t xml:space="preserve">LOCAL DE ENTREGA/EXECUÇÃO:</w:t>
      </w:r>
      <w:r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Indicar o(s) local(is) de entregas de maneira precisa, completa, indicando referências, nome do equipamento público, servidor(es) recebedor(es), horários de entregas, dias de semana, restrições de tráfego, etc.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 w:bidi="ar-SA"/>
        </w:rPr>
        <w:t xml:space="preserve">VIGÊNCIA:</w:t>
      </w:r>
      <w:r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pPr>
      <w:r/>
      <w:r>
        <w:rPr>
          <w:rFonts w:ascii="Calibri" w:hAnsi="Calibri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Indicar a vigência contratual em meses.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 w:bidi="ar-SA"/>
        </w:rPr>
        <w:t xml:space="preserve">PAGAMENTO: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O pagamento, decorrent</w:t>
      </w:r>
      <w:r>
        <w:rPr>
          <w:rFonts w:ascii="Calibri" w:hAnsi="Calibri"/>
          <w:color w:val="000000" w:themeColor="text1"/>
          <w:lang w:eastAsia="pt-BR" w:bidi="ar-SA"/>
        </w:rPr>
        <w:t xml:space="preserve">e da entrega do material, ocorrerá em até 30 (trinta) dias após a emissão da nota fiscal devidamente atestada pelo setor competente, conforme dispõe o art. XIV, alínea “a”, combinado com o art.73, inciso II, alínea “b” da Lei nº 8.666/93 e suas alterações.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 pagamento à licitante vencedora será mediante crédito em conta-corrente mantida em Unidade Bancária indicada no contrato pelo fornecedor.</w:t>
      </w:r>
      <w:r>
        <w:rPr>
          <w:rFonts w:ascii="Calibri" w:hAnsi="Calibri"/>
          <w:color w:val="000000" w:themeColor="text1"/>
        </w:rPr>
      </w:r>
    </w:p>
    <w:p>
      <w:pPr>
        <w:pStyle w:val="718"/>
        <w:ind w:left="0" w:right="-397" w:firstLine="680"/>
        <w:jc w:val="both"/>
        <w:spacing w:before="0" w:after="0" w:line="276" w:lineRule="auto"/>
        <w:widowControl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A liberação da autorização de pagamento somente será efetuada após a inspeção ou emissão de Termo de Recebimento do material licitado.</w:t>
      </w:r>
      <w:r>
        <w:rPr>
          <w:rFonts w:ascii="Calibri" w:hAnsi="Calibri" w:cs="Arial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Não será efetuado qualquer pagamento à Empresa Contratada enquanto houver pendência de liquidação da obrigação financeira em virtude de penalidade ou inadimplência contratual.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tabs>
          <w:tab w:val="clear" w:pos="709" w:leader="none"/>
          <w:tab w:val="left" w:pos="9214" w:leader="none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Em hipótese alguma será concedido, o reajustamento dos preços propostos e o valor constante da nota fiscal/fatura, quando da sua apresentação, não sofrerá nenhuma atualização monetária até o efetivo pagamento.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tabs>
          <w:tab w:val="clear" w:pos="709" w:leader="none"/>
          <w:tab w:val="left" w:pos="9214" w:leader="none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Ocorrendo erro no documento da cobrança, este será devolvido e o pagamento será sustado para que a Contratada tome as medidas necessárias, passando o prazo para o pagamento a ser contado a partir da data da reapresentação do mesmo.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Caso se constate erro ou irregularidade na Nota Fiscal, o Órgão, a seu critério, poderá devolvê-la, para as devidas correções, ou aceitá-la, com a glosa da parte que considerar indevida.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Na hipótese de devolução, a Nota Fiscal será considerada como não apresentada, para fins de atendimento das condições contratuais.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 Órgão não pagará, sem que tenha autorização prévia e formalmente, nenhum compromisso que lhe venha a ser cobrado diretamente por terceiros, seja ou não instituições financeiras.</w:t>
      </w:r>
      <w:r>
        <w:rPr>
          <w:rFonts w:ascii="Calibri" w:hAnsi="Calibri"/>
          <w:color w:val="000000" w:themeColor="text1"/>
        </w:rPr>
      </w:r>
    </w:p>
    <w:p>
      <w:pPr>
        <w:pStyle w:val="712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Os eventuais encargos financeiros, processuais e outros, decorrentes da inobservância, pela licitante vencedora, de prazo de pagamento, serão de sua exclusiva responsabilidade.</w:t>
      </w:r>
      <w:r>
        <w:rPr>
          <w:rFonts w:ascii="Calibri" w:hAnsi="Calibri"/>
          <w:color w:val="000000" w:themeColor="text1"/>
        </w:rPr>
      </w:r>
    </w:p>
    <w:p>
      <w:pPr>
        <w:pStyle w:val="713"/>
        <w:ind w:left="0" w:right="-397" w:firstLine="680"/>
        <w:jc w:val="both"/>
        <w:spacing w:before="0" w:after="0" w:line="276" w:lineRule="auto"/>
        <w:widowControl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  <w:t xml:space="preserve">A Administração, efetuará retenção, na fonte, dos tributos e contribuições sobre todos os pagamentos à licitante vencedora.</w:t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ind w:right="-427" w:firstLine="0"/>
        <w:jc w:val="both"/>
        <w:spacing w:before="0" w:after="0"/>
        <w:rPr>
          <w:rFonts w:ascii="Calibri" w:hAnsi="Calibri"/>
          <w:color w:val="000000" w:themeColor="text1"/>
          <w:lang w:eastAsia="pt-BR" w:bidi="ar-SA"/>
        </w:rPr>
      </w:pPr>
      <w:r>
        <w:rPr>
          <w:rFonts w:ascii="Calibri" w:hAnsi="Calibri"/>
          <w:color w:val="000000" w:themeColor="text1"/>
          <w:lang w:eastAsia="pt-BR" w:bidi="ar-SA"/>
        </w:rPr>
      </w:r>
      <w:r>
        <w:rPr>
          <w:rFonts w:ascii="Calibri" w:hAnsi="Calibri"/>
          <w:color w:val="000000" w:themeColor="text1"/>
          <w:lang w:eastAsia="pt-BR" w:bidi="ar-SA"/>
        </w:rPr>
      </w:r>
    </w:p>
    <w:p>
      <w:pPr>
        <w:pStyle w:val="713"/>
        <w:numPr>
          <w:ilvl w:val="0"/>
          <w:numId w:val="1"/>
        </w:numPr>
        <w:ind w:right="-427" w:firstLine="0"/>
        <w:jc w:val="both"/>
        <w:spacing w:before="0" w:after="0"/>
        <w:rPr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 w:bidi="ar-SA"/>
        </w:rPr>
        <w:t xml:space="preserve">OBRIGAÇÕES </w:t>
      </w:r>
      <w:r>
        <w:rPr>
          <w:rFonts w:ascii="Calibri" w:hAnsi="Calibri" w:eastAsia="Times New Roman"/>
          <w:b/>
          <w:color w:val="000000" w:themeColor="text1"/>
          <w:shd w:val="clear" w:color="auto" w:fill="dedce6"/>
          <w:lang w:eastAsia="pt-BR" w:bidi="ar-SA"/>
        </w:rPr>
        <w:t xml:space="preserve">DA CONTRATANTE:</w:t>
      </w:r>
      <w:r>
        <w:rPr>
          <w:color w:val="000000" w:themeColor="text1"/>
        </w:rPr>
      </w:r>
    </w:p>
    <w:p>
      <w:pPr>
        <w:pStyle w:val="713"/>
        <w:numPr>
          <w:ilvl w:val="0"/>
          <w:numId w:val="0"/>
        </w:numPr>
        <w:ind w:left="0" w:right="-427" w:firstLine="0"/>
        <w:jc w:val="both"/>
        <w:spacing w:before="0" w:after="0"/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ind w:left="0" w:right="0" w:firstLine="680"/>
        <w:jc w:val="both"/>
        <w:spacing w:before="0" w:after="0" w:line="276" w:lineRule="auto"/>
        <w:widowControl/>
        <w:rPr>
          <w:rFonts w:ascii="Calibri" w:hAnsi="Calibri" w:eastAsia="Times New Roman"/>
          <w:color w:val="000000" w:themeColor="text1"/>
          <w:lang w:eastAsia="pt-BR"/>
        </w:rPr>
      </w:pPr>
      <w:r>
        <w:rPr>
          <w:rFonts w:ascii="Calibri" w:hAnsi="Calibri" w:eastAsia="Times New Roman"/>
          <w:color w:val="000000" w:themeColor="text1"/>
          <w:lang w:eastAsia="pt-BR"/>
        </w:rPr>
        <w:t xml:space="preserve">Fornecer à CONTRATADA, todas as informações relacionadas com o objeto do presente contrato;</w:t>
      </w:r>
      <w:r>
        <w:rPr>
          <w:rFonts w:ascii="Calibri" w:hAnsi="Calibri" w:eastAsia="Times New Roman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/>
        </w:rPr>
      </w:pPr>
      <w:r>
        <w:rPr>
          <w:rFonts w:ascii="Calibri" w:hAnsi="Calibri" w:eastAsia="Times New Roman"/>
          <w:color w:val="000000" w:themeColor="text1"/>
          <w:lang w:eastAsia="pt-BR"/>
        </w:rPr>
        <w:tab/>
        <w:t xml:space="preserve">Pagar à CONTRATADA na forma estabelecida neste instrumento, efetuando a retenção dos </w:t>
        <w:tab/>
        <w:t xml:space="preserve">tributos devidos, consoante a legislação vigente;</w:t>
      </w:r>
      <w:r>
        <w:rPr>
          <w:rFonts w:ascii="Calibri" w:hAnsi="Calibri" w:eastAsia="Times New Roman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/>
        </w:rPr>
      </w:pPr>
      <w:r>
        <w:rPr>
          <w:rFonts w:ascii="Calibri" w:hAnsi="Calibri" w:eastAsia="Times New Roman"/>
          <w:color w:val="000000" w:themeColor="text1"/>
          <w:lang w:eastAsia="pt-BR"/>
        </w:rPr>
        <w:tab/>
        <w:t xml:space="preserve">Acompanh</w:t>
      </w:r>
      <w:r>
        <w:rPr>
          <w:rFonts w:ascii="Calibri" w:hAnsi="Calibri" w:eastAsia="Times New Roman"/>
          <w:color w:val="000000" w:themeColor="text1"/>
          <w:lang w:eastAsia="pt-BR"/>
        </w:rPr>
        <w:t xml:space="preserve">ar e fiscalizar, através de servidor(es) designado(s) pelo órgão contratante, o cumprimento deste instrumento, anotando em registro próprio as falhas detectadas e comunicando as ocorrências de quaisquer fatos que, a seu critério, exijam medidas corretivas;</w:t>
      </w:r>
      <w:r>
        <w:rPr>
          <w:rFonts w:ascii="Calibri" w:hAnsi="Calibri" w:eastAsia="Times New Roman"/>
          <w:color w:val="000000" w:themeColor="text1"/>
          <w:lang w:eastAsia="pt-BR"/>
        </w:rPr>
      </w:r>
    </w:p>
    <w:p>
      <w:pPr>
        <w:pStyle w:val="712"/>
        <w:ind w:right="-427" w:firstLine="0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Exigir a apresentação de notas fiscais com as requisições fornecidas, recibos, atestados, declarações e outros documentos que c</w:t>
      </w:r>
      <w:r>
        <w:rPr>
          <w:rFonts w:ascii="Calibri" w:hAnsi="Calibri" w:eastAsia="Times New Roman"/>
          <w:color w:val="000000" w:themeColor="text1"/>
          <w:lang w:eastAsia="pt-BR" w:bidi="ar-SA"/>
        </w:rPr>
        <w:t xml:space="preserve">omprovem as operações realizadas, o cumprimento de pedidos, o atendimento de providências, o compromisso de qualidade, etc, bem como fornecer à CONTRATADA recibos, atestados, vistos, declarações e autorizações de compromissos que exijam essas comprovações.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ind w:right="-427" w:firstLine="0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3"/>
        <w:numPr>
          <w:ilvl w:val="0"/>
          <w:numId w:val="1"/>
        </w:numPr>
        <w:ind w:right="-427" w:firstLine="0"/>
        <w:jc w:val="both"/>
        <w:spacing w:before="0" w:after="0"/>
        <w:rPr>
          <w:rFonts w:ascii="Calibri" w:hAnsi="Calibri" w:eastAsia="Times New Roman"/>
          <w:b/>
          <w:color w:val="000000" w:themeColor="text1"/>
          <w:highlight w:val="lightGray"/>
          <w:lang w:eastAsia="pt-BR" w:bidi="ar-SA"/>
        </w:rPr>
      </w:pPr>
      <w:r>
        <w:rPr>
          <w:rFonts w:ascii="Calibri" w:hAnsi="Calibri" w:eastAsia="Times New Roman"/>
          <w:b/>
          <w:color w:val="000000" w:themeColor="text1"/>
          <w:shd w:val="clear" w:color="auto" w:fill="dddddd"/>
          <w:lang w:eastAsia="pt-BR" w:bidi="ar-SA"/>
        </w:rPr>
        <w:t xml:space="preserve">OBRIGAÇÕES DA CONTRATADA</w:t>
      </w:r>
      <w:r>
        <w:rPr>
          <w:rFonts w:ascii="Calibri" w:hAnsi="Calibri" w:eastAsia="Times New Roman"/>
          <w:b/>
          <w:color w:val="000000" w:themeColor="text1"/>
          <w:highlight w:val="lightGray"/>
          <w:lang w:eastAsia="pt-BR" w:bidi="ar-SA"/>
        </w:rPr>
      </w:r>
    </w:p>
    <w:p>
      <w:pPr>
        <w:pStyle w:val="713"/>
        <w:numPr>
          <w:ilvl w:val="0"/>
          <w:numId w:val="0"/>
        </w:numPr>
        <w:ind w:left="0" w:right="-427" w:firstLine="0"/>
        <w:jc w:val="both"/>
        <w:spacing w:before="0" w:after="0"/>
        <w:rPr>
          <w:rFonts w:ascii="Calibri" w:hAnsi="Calibri" w:eastAsia="Times New Roman"/>
          <w:b/>
          <w:color w:val="000000" w:themeColor="text1"/>
          <w:highlight w:val="lightGray"/>
          <w:lang w:eastAsia="pt-BR" w:bidi="ar-SA"/>
        </w:rPr>
      </w:pPr>
      <w:r/>
      <w:r>
        <w:rPr>
          <w:rFonts w:ascii="Calibri" w:hAnsi="Calibri" w:eastAsia="Times New Roman"/>
          <w:b/>
          <w:color w:val="000000" w:themeColor="text1"/>
          <w:highlight w:val="lightGray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Atender as requisições do CONTRATANTE, fornecendo o objeto licitado na forma estipulada neste instrumento, principalmente quanto às suas especificações e ao prazo de entrega;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Entregar o objeto licitado no local e forma indicada pela CONTRATANTE, obedecendo aos prazos estipulados.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A CONTRATADA obriga-se pela garantia dos equipamentos contra vícios e/ou defeitos, e pela prestação</w:t>
      </w:r>
      <w:r>
        <w:rPr>
          <w:rFonts w:ascii="Calibri" w:hAnsi="Calibri" w:eastAsia="Times New Roman"/>
          <w:color w:val="000000" w:themeColor="text1"/>
          <w:lang w:eastAsia="pt-BR" w:bidi="ar-SA"/>
        </w:rPr>
        <w:t xml:space="preserve"> da assistência técnica especializada pós-venda do(s)item(ns) adjudicados de acordo com os prazos mínimos exigidos a contar da data de entrega. Durante a vigência da garantia, a CONTRATADA substituirá qualquer equipamento que apresentar vício e/ou defeito.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Prestar os esclarecimentos que forem solicitados pelo CONTRATANTE, cujas reclamações se obriga a atender prontamente;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Não transferir a outrem, no todo ou em parte, o objeto do presente contrato, sem prévia e expressa anuência do CONTRATANTE;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Credenciar junto ao CONTRATANTE um representante e números de telefone e fax para prestar esclarecimentos e atender as solicitações, bem como reclamações que porventura surgirem durante a execução contratual;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Indicar, a pedido do CONTRATANTE, telefones para contato fora dos horários normais de atendimento, inclusive finais de semana e feriados, para os casos excepcionais que porventura venham a ocorrer;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Responder, integralmente, por perdas e danos que vier a causar ao CONTRATANTE ou a terceiros em razão de ação ou omissão dolosa ou culposa, sua ou de seus prepostos, independentemente de outras cominações contratuais ou legais a que estiver sujeita;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 xml:space="preserve">Responder pelas despesas relativa</w:t>
      </w:r>
      <w:r>
        <w:rPr>
          <w:rFonts w:ascii="Calibri" w:hAnsi="Calibri" w:eastAsia="Times New Roman"/>
          <w:color w:val="000000" w:themeColor="text1"/>
          <w:lang w:eastAsia="pt-BR" w:bidi="ar-SA"/>
        </w:rPr>
        <w:t xml:space="preserve">s a encargos trabalhistas, seguro de acidentes, impostos, contribuições previdenciárias e quaisquer outras que forem devidas e referentes aos serviços executados por seus empregados, uma vez inexistir, no caso, vínculo empregatício deles com o CONTRATANTE;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Manter durante a execução do Contrato todas as condições de habilitação e qualificação exigidas na licitação.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ab/>
        <w:t xml:space="preserve">Aceitar, nas mesmas condições, os acréscimos ou supressões que se fizerem necessários no quantitativo do objeto, até o limite de 25% (vinte e cinco por cento) do valor contratado.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1"/>
        </w:numPr>
        <w:jc w:val="both"/>
        <w:spacing w:line="276" w:lineRule="auto"/>
        <w:rPr>
          <w:color w:val="000000" w:themeColor="text1"/>
        </w:rPr>
      </w:pPr>
      <w:r>
        <w:rPr>
          <w:rFonts w:ascii="Calibri" w:hAnsi="Calibri" w:eastAsia="Times New Roman"/>
          <w:b/>
          <w:bCs/>
          <w:color w:val="000000" w:themeColor="text1"/>
          <w:shd w:val="clear" w:color="auto" w:fill="dedce6"/>
          <w:lang w:eastAsia="pt-BR" w:bidi="ar-SA"/>
        </w:rPr>
        <w:t xml:space="preserve">SANÇÕES ADMINISTRATIVAS:</w:t>
      </w:r>
      <w:r>
        <w:rPr>
          <w:color w:val="000000" w:themeColor="text1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color w:val="000000" w:themeColor="text1"/>
        </w:rPr>
      </w:pPr>
      <w:r/>
      <w:r>
        <w:rPr>
          <w:color w:val="000000" w:themeColor="text1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color w:val="000000" w:themeColor="text1"/>
        </w:rPr>
      </w:pPr>
      <w:r>
        <w:rPr>
          <w:rFonts w:ascii="Calibri" w:hAnsi="Calibri"/>
          <w:color w:val="000000" w:themeColor="text1"/>
          <w:shd w:val="clear" w:color="auto" w:fill="ffffff"/>
        </w:rPr>
        <w:tab/>
        <w:t xml:space="preserve">Comete infração administrativa, nos termos da Lei nº 10.520, de 2002, o licitante/adjudicatário que:</w:t>
      </w:r>
      <w:r>
        <w:rPr>
          <w:color w:val="000000" w:themeColor="text1"/>
        </w:rPr>
      </w:r>
    </w:p>
    <w:p>
      <w:pPr>
        <w:pStyle w:val="712"/>
        <w:numPr>
          <w:ilvl w:val="0"/>
          <w:numId w:val="2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Não aceitar/retirar a nota de empenho, ou não assinar o termo de contrato, quando convocado dentro do prazo de validade da proposta;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3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Apresentar documentação falsa;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4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Deixar de entregar os documentos exigidos no certame;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4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Ensejar o retardamento da execução do objeto;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4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Não mantiver a proposta;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4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Cometer fraude fiscal;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4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 xml:space="preserve">Comportar-se de modo inidôneo;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ab/>
        <w:t xml:space="preserve"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  <w:highlight w:val="white"/>
        </w:rPr>
      </w:pPr>
      <w:r>
        <w:rPr>
          <w:rFonts w:ascii="Calibri" w:hAnsi="Calibri"/>
          <w:color w:val="000000" w:themeColor="text1"/>
          <w:shd w:val="clear" w:color="auto" w:fill="ffffff"/>
        </w:rPr>
        <w:tab/>
        <w:t xml:space="preserve">O licitante/adjudicatário que cometer qualquer das infrações discriminadas no subitem anterior ficará sujeito, sem prejuízo da responsabilidade civil e criminal, às seguintes sanções:</w:t>
      </w:r>
      <w:r>
        <w:rPr>
          <w:rFonts w:ascii="Calibri" w:hAnsi="Calibri"/>
          <w:color w:val="000000" w:themeColor="text1"/>
          <w:highlight w:val="white"/>
        </w:rPr>
      </w:r>
    </w:p>
    <w:p>
      <w:pPr>
        <w:pStyle w:val="712"/>
        <w:numPr>
          <w:ilvl w:val="0"/>
          <w:numId w:val="5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Advertência por faltas leves, assim entendidas aquelas que não acarretem prejuízos significativos para a Contratante;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6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multa moratória de 0,3 (três décimos por cento), por dia de atraso injustificado sobre o valor da parcela inadimplida, até o limite de 30 (trinta) dias;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6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multa compensatória de 10% (dez por cento) sobre o valor total do contrato, no caso de inexecução total do objeto;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6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Em caso de inexecução parcial, a multa compensatória, no mesmo percentual do subitem acima, será aplicada de forma proporcional à obrigação inadimplida;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6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suspensão de licitar e impedimento de contratar com o órgão, entidade ou unidade administrativa pela qual a Administração Pública opera e atua concretamente, pelo prazo de até 02 (dois) anos;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7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Declaração de inidoneidade para licitar ou contratar com a Administraç</w:t>
      </w:r>
      <w:r>
        <w:rPr>
          <w:rFonts w:ascii="Calibri" w:hAnsi="Calibri"/>
          <w:color w:val="000000" w:themeColor="text1"/>
        </w:rPr>
        <w:t xml:space="preserve">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  <w:r>
        <w:rPr>
          <w:rFonts w:ascii="Calibri" w:hAnsi="Calibri"/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</w:r>
      <w:r>
        <w:rPr>
          <w:rFonts w:ascii="Calibri" w:hAnsi="Calibri"/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Também ficam sujeitas às penalidades do art. 87, III e IV da Lei nº 8.666, de 1993, a Contratada que: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8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Tenha sofrido condenação definitiva por praticar, por meio dolosos, fraude fiscal no recolhimento de quaisquer tributos;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8"/>
        </w:numPr>
        <w:jc w:val="both"/>
        <w:spacing w:line="276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Tenha praticado atos ilícitos visando a frustrar os objetivos da licitação;</w:t>
      </w:r>
      <w:r>
        <w:rPr>
          <w:rFonts w:ascii="Calibri" w:hAnsi="Calibri"/>
          <w:color w:val="000000" w:themeColor="text1"/>
        </w:rPr>
      </w:r>
    </w:p>
    <w:p>
      <w:pPr>
        <w:pStyle w:val="712"/>
        <w:numPr>
          <w:ilvl w:val="0"/>
          <w:numId w:val="8"/>
        </w:numPr>
        <w:jc w:val="both"/>
        <w:spacing w:line="276" w:lineRule="auto"/>
        <w:tabs>
          <w:tab w:val="left" w:pos="0" w:leader="none"/>
          <w:tab w:val="clear" w:pos="709" w:leader="none"/>
        </w:tabs>
        <w:rPr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Demonstre não possuir idoneidade para contratar com a Administração em virtude de atos ilícitos praticados. A aplicação de qual</w:t>
      </w:r>
      <w:r>
        <w:rPr>
          <w:rFonts w:ascii="Calibri" w:hAnsi="Calibri"/>
          <w:color w:val="000000" w:themeColor="text1"/>
        </w:rPr>
        <w:t xml:space="preserve">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A autoridade competente, na aplicação das sanções, levará em consideração a gravidade da conduta do infrator, o caráter educativo da pena, bem como o dano causado à Administração, observado o princípio da proporcionalidade.</w:t>
      </w:r>
      <w:r>
        <w:rPr>
          <w:rFonts w:ascii="Calibri" w:hAnsi="Calibri"/>
          <w:color w:val="000000" w:themeColor="text1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Fica garantido à fornecedora o direito prévio da citação e de ampla defesa, no respectivo processo, no prazo de 05 (cinco) dias úteis, contados da notificação ou publicação do ato.</w:t>
      </w:r>
      <w:r>
        <w:rPr>
          <w:rFonts w:ascii="Calibri" w:hAnsi="Calibri"/>
          <w:color w:val="000000" w:themeColor="text1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color w:val="000000" w:themeColor="text1"/>
        </w:rPr>
      </w:pPr>
      <w:r>
        <w:rPr>
          <w:rFonts w:ascii="Calibri" w:hAnsi="Calibri"/>
          <w:color w:val="000000" w:themeColor="text1"/>
        </w:rPr>
        <w:tab/>
        <w:t xml:space="preserve">A defesa deverá estar pautada em razões fundamentadas em fatos reais e comprovados e ser dirigidas à autoridade que praticou o ato administrativo. Devendo esta ser apresentadas </w:t>
      </w:r>
      <w:r>
        <w:rPr>
          <w:rFonts w:ascii="Calibri" w:hAnsi="Calibri"/>
          <w:b/>
          <w:color w:val="000000" w:themeColor="text1"/>
          <w:u w:val="single"/>
        </w:rPr>
        <w:t xml:space="preserve">por escrito</w:t>
      </w:r>
      <w:r>
        <w:rPr>
          <w:rFonts w:ascii="Calibri" w:hAnsi="Calibri"/>
          <w:color w:val="000000" w:themeColor="text1"/>
        </w:rPr>
        <w:t xml:space="preserve"> e no prazo máximo de </w:t>
      </w:r>
      <w:r>
        <w:rPr>
          <w:rFonts w:ascii="Calibri" w:hAnsi="Calibri"/>
          <w:b/>
          <w:color w:val="000000" w:themeColor="text1"/>
        </w:rPr>
        <w:t xml:space="preserve">05 (cinco) dias úteis </w:t>
      </w:r>
      <w:r>
        <w:rPr>
          <w:rFonts w:ascii="Calibri" w:hAnsi="Calibri"/>
          <w:color w:val="000000" w:themeColor="text1"/>
        </w:rPr>
        <w:t xml:space="preserve">da data em que for notificada da pretensão da Administração da aplicação da pena.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 w:eastAsia="Times New Roman"/>
          <w:color w:val="000000" w:themeColor="text1"/>
          <w:lang w:eastAsia="pt-BR" w:bidi="ar-SA"/>
        </w:rPr>
      </w:pPr>
      <w:r>
        <w:rPr>
          <w:rFonts w:ascii="Calibri" w:hAnsi="Calibri" w:eastAsia="Times New Roman"/>
          <w:color w:val="000000" w:themeColor="text1"/>
          <w:lang w:eastAsia="pt-BR" w:bidi="ar-SA"/>
        </w:rPr>
        <w:t xml:space="preserve">As alegações de defesa deverão ser dirigidas à autoridade que praticou o ato administrativo.</w:t>
      </w:r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 w:eastAsia="Times New Roman"/>
          <w:color w:val="000000" w:themeColor="text1"/>
          <w:lang w:eastAsia="pt-BR" w:bidi="ar-SA"/>
        </w:rPr>
      </w:pPr>
      <w:r/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 w:eastAsia="Times New Roman"/>
          <w:color w:val="000000" w:themeColor="text1"/>
          <w:lang w:eastAsia="pt-BR" w:bidi="ar-SA"/>
        </w:rPr>
      </w:pPr>
      <w:r/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tabs>
          <w:tab w:val="left" w:pos="0" w:leader="none"/>
          <w:tab w:val="clear" w:pos="709" w:leader="none"/>
        </w:tabs>
        <w:rPr>
          <w:rFonts w:ascii="Calibri" w:hAnsi="Calibri" w:eastAsia="Times New Roman"/>
          <w:color w:val="000000" w:themeColor="text1"/>
          <w:lang w:eastAsia="pt-BR" w:bidi="ar-SA"/>
        </w:rPr>
      </w:pPr>
      <w:r/>
      <w:r>
        <w:rPr>
          <w:rFonts w:ascii="Calibri" w:hAnsi="Calibri" w:eastAsia="Times New Roman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9"/>
        </w:numPr>
        <w:ind w:left="737" w:hanging="737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bCs/>
          <w:color w:val="000000" w:themeColor="text1"/>
          <w:shd w:val="clear" w:color="auto" w:fill="dedce6"/>
          <w:lang w:eastAsia="pt-BR"/>
        </w:rPr>
        <w:t xml:space="preserve">PROCEDIMENTOS DE GERENCIAMENTO:</w:t>
      </w:r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/>
          <w:b/>
          <w:bCs/>
          <w:color w:val="000000" w:themeColor="text1"/>
          <w:highlight w:val="blue"/>
          <w:lang w:eastAsia="pt-BR"/>
        </w:rPr>
      </w:pPr>
      <w:r/>
      <w:r>
        <w:rPr>
          <w:rFonts w:ascii="Calibri" w:hAnsi="Calibri"/>
          <w:b/>
          <w:bCs/>
          <w:color w:val="000000" w:themeColor="text1"/>
          <w:highlight w:val="blue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Nos termos do art.67 Lei nº 8.666, de 1993, será(ão) designado(s) representante(s) para acompanhar e fiscalizar a execução do objeto contratado, ano</w:t>
      </w:r>
      <w:r>
        <w:rPr>
          <w:rFonts w:ascii="Calibri" w:hAnsi="Calibri"/>
          <w:color w:val="000000" w:themeColor="text1"/>
          <w:lang w:eastAsia="pt-BR"/>
        </w:rPr>
        <w:t xml:space="preserve">tando em registro próprio todas as ocorrências relacionadas com a execução do contrato, determinando o que for necessário à regularização de falhas ou defeitos observados e encaminhando os apontamentos à autoridade competente para as providências cabíveis.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A fiscalização da execução do objeto contratado, apuração de provisórias inconformidades e definição de ações corretivas será efetuada por Comissão/Representante, neste caso, gestor e fiscal designado pela CONTRATANTE.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</w:t>
      </w:r>
      <w:r>
        <w:rPr>
          <w:rFonts w:ascii="Calibri" w:hAnsi="Calibri"/>
          <w:color w:val="000000" w:themeColor="text1"/>
          <w:lang w:eastAsia="pt-BR"/>
        </w:rPr>
        <w:t xml:space="preserve"> implica em corresponsabilidade da Administração ou de seus agentes e prepostos, de conformidade com o art.70 da Lei nº8.666, de 1993. O representante da Administração anotará em registro próprio todas as ocorrências relacionadas com a execução do contrato</w:t>
      </w:r>
      <w:r>
        <w:rPr>
          <w:rFonts w:ascii="Calibri" w:hAnsi="Calibri"/>
          <w:color w:val="000000" w:themeColor="text1"/>
          <w:lang w:eastAsia="pt-BR"/>
        </w:rPr>
        <w:t xml:space="preserve">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color w:val="000000" w:themeColor="text1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São atribuições </w:t>
      </w:r>
      <w:r>
        <w:rPr>
          <w:rFonts w:ascii="Calibri" w:hAnsi="Calibri"/>
          <w:color w:val="000000" w:themeColor="text1"/>
          <w:lang w:eastAsia="pt-BR"/>
        </w:rPr>
        <w:t xml:space="preserve">do(s) Fiscal(is) do Contrato, entre outras: a) Receber a Nota Fiscal/Fatura apresentada pela CONTRATADA, bem como outros documentos porventura exigidos neste Termo de Referência, e atestar a realização dos serviços, para fins de liquidação e pagamento; b) </w:t>
      </w:r>
      <w:r>
        <w:rPr>
          <w:rFonts w:ascii="Calibri" w:hAnsi="Calibri" w:eastAsia="MS Sans Serif"/>
          <w:color w:val="000000" w:themeColor="text1"/>
          <w:lang w:eastAsia="pt-BR"/>
        </w:rPr>
        <w:t xml:space="preserve">Atestar as irregula</w:t>
      </w:r>
      <w:r>
        <w:rPr>
          <w:rFonts w:ascii="Calibri" w:hAnsi="Calibri" w:eastAsia="MS Sans Serif"/>
          <w:color w:val="000000" w:themeColor="text1"/>
          <w:lang w:eastAsia="pt-BR"/>
        </w:rPr>
        <w:t xml:space="preserve">ridades/inconsistências do cumprimento da obrigação e encaminhar para o gestor notificar a CONTRATADA; em caso de não resolução da problemática, o processo, devidamente instruído, será remetido à Assessoria Jurídica para a apuração da conduta da CONTRATADA</w:t>
      </w:r>
      <w:r>
        <w:rPr>
          <w:rFonts w:ascii="Calibri" w:hAnsi="Calibri"/>
          <w:color w:val="000000" w:themeColor="text1"/>
          <w:lang w:eastAsia="pt-BR"/>
        </w:rPr>
        <w:t xml:space="preserve">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É direito da fiscalização rejeitar quaisquer serviços quando entender que a sua execução está fora dos padrões técnicos e de qualidade definidos neste Termo de Referência.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color w:val="000000" w:themeColor="text1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As decisões e providências que ultrapassarem a competência do Fiscal do Contrato e seu substituto serão encaminhadas por escrito à </w:t>
      </w:r>
      <w:r>
        <w:rPr>
          <w:rFonts w:ascii="Calibri" w:hAnsi="Calibri" w:eastAsia="MS Sans Serif"/>
          <w:color w:val="000000" w:themeColor="text1"/>
          <w:lang w:eastAsia="pt-BR"/>
        </w:rPr>
        <w:t xml:space="preserve">Gerência Administrativa e Financeira</w:t>
      </w:r>
      <w:r>
        <w:rPr>
          <w:rFonts w:ascii="Calibri" w:hAnsi="Calibri"/>
          <w:color w:val="000000" w:themeColor="text1"/>
          <w:lang w:eastAsia="pt-BR"/>
        </w:rPr>
        <w:t xml:space="preserve">, em tempo hábil para adoção das imediatas medidas saneadoras.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Ao(s) Fiscal(is) do Contrato e a(os)</w:t>
      </w:r>
      <w:r>
        <w:rPr>
          <w:rFonts w:ascii="Calibri" w:hAnsi="Calibri"/>
          <w:color w:val="000000" w:themeColor="text1"/>
          <w:lang w:eastAsia="pt-BR"/>
        </w:rPr>
        <w:t xml:space="preserve"> seu(s) substituto(s), quando houver, fica assegurado o direito de, justificadamente, solicitar a substituição do preposto cujo comportamento seja julgado impróprio, que não corresponda às normas de segurança do Órgão ou que crie obstáculos à fiscalização.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A fiscalização de que trata este item não exclui nem reduz a responsabilidade da Contratada, inclusive perante terceiros, por q</w:t>
      </w:r>
      <w:r>
        <w:rPr>
          <w:rFonts w:ascii="Calibri" w:hAnsi="Calibri"/>
          <w:color w:val="000000" w:themeColor="text1"/>
          <w:lang w:eastAsia="pt-BR"/>
        </w:rPr>
        <w:t xml:space="preserve">ualquer irregularidade, ainda que resultante de imperfeições técnicas ou vícios redibitórios, e, na ocorrência desta, não implica em corresponsabilidade da Administração ou de seus agentes e prepostos, de conformidade com o art. 70 da Lei nº8.666, de 1993.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numPr>
          <w:ilvl w:val="0"/>
          <w:numId w:val="9"/>
        </w:numPr>
        <w:jc w:val="both"/>
        <w:spacing w:line="276" w:lineRule="auto"/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pPr>
      <w:r>
        <w:rPr>
          <w:rFonts w:ascii="Calibri" w:hAnsi="Calibri" w:cs="Times New Roman"/>
          <w:b/>
          <w:bCs/>
          <w:color w:val="000000" w:themeColor="text1"/>
          <w:shd w:val="clear" w:color="auto" w:fill="dedce6"/>
          <w:lang w:eastAsia="pt-BR" w:bidi="ar-SA"/>
        </w:rPr>
        <w:t xml:space="preserve">GARANTIA:</w:t>
      </w:r>
      <w:r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pPr>
      <w:r/>
      <w:r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 w:bidi="ar-SA"/>
        </w:rPr>
      </w:pPr>
      <w:r>
        <w:rPr>
          <w:rFonts w:ascii="Calibri" w:hAnsi="Calibri" w:cs="Times New Roman"/>
          <w:color w:val="000000" w:themeColor="text1"/>
          <w:lang w:eastAsia="pt-BR" w:bidi="ar-SA"/>
        </w:rPr>
        <w:tab/>
        <w:t xml:space="preserve">Caso se aplique a garantia para </w:t>
      </w:r>
      <w:r>
        <w:rPr>
          <w:rFonts w:ascii="Calibri" w:hAnsi="Calibri" w:cs="Times New Roman"/>
          <w:color w:val="000000" w:themeColor="text1"/>
          <w:lang w:eastAsia="pt-BR" w:bidi="ar-SA"/>
        </w:rPr>
        <w:t xml:space="preserve">execução contratual, deverá(ão) ser estipulada(s) qual(is) será(ão), do tipo caução, carta fiança bancária, seguro-garantia, ou outra. Deverão ainda indicar seus valores ou percentuais a aplicar, inclusive a forma de seu resgate/devolução, conforme o caso.</w:t>
      </w:r>
      <w:r>
        <w:rPr>
          <w:rFonts w:ascii="Calibri" w:hAnsi="Calibri" w:cs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 w:bidi="ar-SA"/>
        </w:rPr>
      </w:pPr>
      <w:r>
        <w:rPr>
          <w:rFonts w:ascii="Calibri" w:hAnsi="Calibri" w:cs="Times New Roman"/>
          <w:color w:val="000000" w:themeColor="text1"/>
          <w:lang w:eastAsia="pt-BR" w:bidi="ar-SA"/>
        </w:rPr>
        <w:tab/>
        <w:t xml:space="preserve">A não exigência de aplicação de garantia para execução contratual deverá estar expressa no contrato.</w:t>
      </w:r>
      <w:r>
        <w:rPr>
          <w:rFonts w:ascii="Calibri" w:hAnsi="Calibri" w:cs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 w:bidi="ar-SA"/>
        </w:rPr>
      </w:pPr>
      <w:r>
        <w:rPr>
          <w:rFonts w:ascii="Calibri" w:hAnsi="Calibri" w:cs="Times New Roman"/>
          <w:color w:val="000000" w:themeColor="text1"/>
          <w:lang w:eastAsia="pt-BR" w:bidi="ar-SA"/>
        </w:rPr>
        <w:tab/>
        <w:t xml:space="preserve">Mas, </w:t>
      </w:r>
      <w:r>
        <w:rPr>
          <w:rFonts w:ascii="Calibri" w:hAnsi="Calibri" w:cs="Times New Roman"/>
          <w:color w:val="000000" w:themeColor="text1"/>
          <w:lang w:eastAsia="pt-BR" w:bidi="ar-SA"/>
        </w:rPr>
        <w:t xml:space="preserve">em</w:t>
      </w:r>
      <w:r>
        <w:rPr>
          <w:rFonts w:ascii="Calibri" w:hAnsi="Calibri" w:cs="Times New Roman"/>
          <w:color w:val="000000" w:themeColor="text1"/>
          <w:lang w:eastAsia="pt-BR" w:bidi="ar-SA"/>
        </w:rPr>
        <w:t xml:space="preserve"> qualquer dos casos (com ou sem garantia execução contratual), para recebimento definitivo do objeto contratual, os materiais/serviços deverão estar de acordo com a descrição do Termo de Referência e respectiva Nota de Empenho.</w:t>
      </w:r>
      <w:r>
        <w:rPr>
          <w:rFonts w:ascii="Calibri" w:hAnsi="Calibri" w:cs="Times New Roman"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 w:bidi="ar-SA"/>
        </w:rPr>
      </w:pPr>
      <w:r>
        <w:rPr>
          <w:rFonts w:ascii="Calibri" w:hAnsi="Calibri" w:cs="Times New Roman"/>
          <w:color w:val="000000" w:themeColor="text1"/>
          <w:lang w:eastAsia="pt-BR" w:bidi="ar-SA"/>
        </w:rPr>
      </w:r>
      <w:r>
        <w:rPr>
          <w:rFonts w:ascii="Calibri" w:hAnsi="Calibri" w:cs="Times New Roman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9"/>
        </w:numPr>
        <w:jc w:val="both"/>
        <w:spacing w:line="276" w:lineRule="auto"/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pPr>
      <w:r>
        <w:rPr>
          <w:rFonts w:ascii="Calibri" w:hAnsi="Calibri" w:cs="Times New Roman"/>
          <w:b/>
          <w:bCs/>
          <w:color w:val="000000" w:themeColor="text1"/>
          <w:shd w:val="clear" w:color="auto" w:fill="dedce6"/>
          <w:lang w:eastAsia="pt-BR" w:bidi="ar-SA"/>
        </w:rPr>
        <w:t xml:space="preserve">BASE LEGAL:</w:t>
      </w:r>
      <w:r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pPr>
      <w:r/>
      <w:r>
        <w:rPr>
          <w:rFonts w:ascii="Calibri" w:hAnsi="Calibri" w:cs="Times New Roman"/>
          <w:b/>
          <w:bCs/>
          <w:color w:val="000000" w:themeColor="text1"/>
          <w:highlight w:val="blue"/>
          <w:lang w:eastAsia="pt-BR" w:bidi="ar-SA"/>
        </w:rPr>
      </w:r>
    </w:p>
    <w:p>
      <w:pPr>
        <w:pStyle w:val="712"/>
        <w:jc w:val="both"/>
        <w:spacing w:line="276" w:lineRule="auto"/>
        <w:rPr>
          <w:color w:val="000000" w:themeColor="text1"/>
        </w:rPr>
      </w:pPr>
      <w:r>
        <w:rPr>
          <w:rFonts w:ascii="Calibri" w:hAnsi="Calibri" w:cs="Times New Roman"/>
          <w:color w:val="000000" w:themeColor="text1"/>
          <w:lang w:eastAsia="pt-BR" w:bidi="ar-SA"/>
        </w:rPr>
        <w:tab/>
      </w:r>
      <w:bookmarkStart w:id="0" w:name="__DdeLink__799_32847178"/>
      <w:r>
        <w:rPr>
          <w:rFonts w:ascii="Calibri" w:hAnsi="Calibri" w:cs="Times New Roman"/>
          <w:color w:val="000000" w:themeColor="text1"/>
          <w:lang w:eastAsia="pt-BR" w:bidi="ar-SA"/>
        </w:rPr>
        <w:t xml:space="preserve">Lei n.º 8.666/9</w:t>
      </w:r>
      <w:bookmarkEnd w:id="0"/>
      <w:r>
        <w:rPr>
          <w:rFonts w:ascii="Calibri" w:hAnsi="Calibri" w:cs="Times New Roman"/>
          <w:color w:val="000000" w:themeColor="text1"/>
          <w:lang w:eastAsia="pt-BR" w:bidi="ar-SA"/>
        </w:rPr>
        <w:t xml:space="preserve">3; 10520/2002 e </w:t>
      </w:r>
      <w:r>
        <w:rPr>
          <w:rFonts w:ascii="Calibri" w:hAnsi="Calibri"/>
          <w:color w:val="000000" w:themeColor="text1"/>
          <w:lang w:eastAsia="pt-BR" w:bidi="ar-SA"/>
        </w:rPr>
        <w:t xml:space="preserve">Decreto Municipal 2247/2020 com posteriores alterações</w:t>
      </w:r>
      <w:r>
        <w:rPr>
          <w:rFonts w:ascii="Calibri" w:hAnsi="Calibri" w:cs="Times New Roman"/>
          <w:color w:val="000000" w:themeColor="text1"/>
          <w:lang w:eastAsia="pt-BR" w:bidi="ar-SA"/>
        </w:rPr>
        <w:t xml:space="preserve">.</w:t>
      </w:r>
      <w:r>
        <w:rPr>
          <w:color w:val="000000" w:themeColor="text1"/>
        </w:rPr>
      </w:r>
    </w:p>
    <w:p>
      <w:pPr>
        <w:pStyle w:val="712"/>
        <w:jc w:val="both"/>
        <w:spacing w:line="276" w:lineRule="auto"/>
        <w:rPr>
          <w:rFonts w:ascii="Calibri" w:hAnsi="Calibri" w:cs="Times New Roman"/>
          <w:color w:val="000000" w:themeColor="text1"/>
          <w:lang w:eastAsia="pt-BR" w:bidi="ar-SA"/>
        </w:rPr>
      </w:pPr>
      <w:r>
        <w:rPr>
          <w:rFonts w:ascii="Calibri" w:hAnsi="Calibri" w:cs="Times New Roman"/>
          <w:color w:val="000000" w:themeColor="text1"/>
          <w:lang w:eastAsia="pt-BR" w:bidi="ar-SA"/>
        </w:rPr>
      </w:r>
      <w:r>
        <w:rPr>
          <w:rFonts w:ascii="Calibri" w:hAnsi="Calibri" w:cs="Times New Roman"/>
          <w:color w:val="000000" w:themeColor="text1"/>
          <w:lang w:eastAsia="pt-BR" w:bidi="ar-SA"/>
        </w:rPr>
      </w:r>
    </w:p>
    <w:p>
      <w:pPr>
        <w:pStyle w:val="712"/>
        <w:numPr>
          <w:ilvl w:val="0"/>
          <w:numId w:val="9"/>
        </w:numPr>
        <w:jc w:val="both"/>
        <w:spacing w:line="276" w:lineRule="auto"/>
        <w:rPr>
          <w:rFonts w:ascii="Calibri" w:hAnsi="Calibri"/>
          <w:b/>
          <w:color w:val="000000" w:themeColor="text1"/>
          <w:highlight w:val="blue"/>
          <w:lang w:eastAsia="pt-BR"/>
        </w:rPr>
      </w:pPr>
      <w:r>
        <w:rPr>
          <w:rFonts w:ascii="Calibri" w:hAnsi="Calibri"/>
          <w:b/>
          <w:color w:val="000000" w:themeColor="text1"/>
          <w:shd w:val="clear" w:color="auto" w:fill="dedce6"/>
          <w:lang w:eastAsia="pt-BR"/>
        </w:rPr>
        <w:t xml:space="preserve">FORO:</w:t>
      </w:r>
      <w:r>
        <w:rPr>
          <w:rFonts w:ascii="Calibri" w:hAnsi="Calibri"/>
          <w:b/>
          <w:color w:val="000000" w:themeColor="text1"/>
          <w:highlight w:val="blue"/>
          <w:lang w:eastAsia="pt-BR"/>
        </w:rPr>
      </w:r>
    </w:p>
    <w:p>
      <w:pPr>
        <w:pStyle w:val="712"/>
        <w:numPr>
          <w:ilvl w:val="0"/>
          <w:numId w:val="0"/>
        </w:numPr>
        <w:ind w:left="0" w:firstLine="0"/>
        <w:jc w:val="both"/>
        <w:spacing w:line="276" w:lineRule="auto"/>
        <w:rPr>
          <w:rFonts w:ascii="Calibri" w:hAnsi="Calibri"/>
          <w:b/>
          <w:color w:val="000000" w:themeColor="text1"/>
          <w:highlight w:val="blue"/>
          <w:lang w:eastAsia="pt-BR"/>
        </w:rPr>
      </w:pPr>
      <w:r/>
      <w:r>
        <w:rPr>
          <w:rFonts w:ascii="Calibri" w:hAnsi="Calibri"/>
          <w:b/>
          <w:color w:val="000000" w:themeColor="text1"/>
          <w:highlight w:val="blue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  <w:tab/>
        <w:t xml:space="preserve">O Foro para solucionar os litígios que decorrerem da execução deste Termo de Referência será o da Comarca de Corumbá, Estado de Mato Grosso do Sul.</w:t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ind w:left="397" w:firstLine="0"/>
        <w:jc w:val="right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ind w:left="397" w:firstLine="0"/>
        <w:jc w:val="right"/>
        <w:spacing w:line="276" w:lineRule="auto"/>
        <w:rPr>
          <w:color w:val="000000" w:themeColor="text1"/>
        </w:rPr>
      </w:pPr>
      <w:r>
        <w:rPr>
          <w:rFonts w:ascii="Calibri" w:hAnsi="Calibri"/>
          <w:color w:val="000000" w:themeColor="text1"/>
          <w:lang w:eastAsia="pt-BR"/>
        </w:rPr>
        <w:t xml:space="preserve">Corumbá, ____/________/______.</w:t>
      </w:r>
      <w:r>
        <w:rPr>
          <w:color w:val="000000" w:themeColor="text1"/>
        </w:rPr>
      </w:r>
    </w:p>
    <w:p>
      <w:pPr>
        <w:pStyle w:val="712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center"/>
        <w:rPr>
          <w:rFonts w:ascii="Calibri" w:hAnsi="Calibri" w:cs="Times New Roman"/>
          <w:color w:val="000000" w:themeColor="text1"/>
          <w:lang w:eastAsia="pt-BR"/>
        </w:rPr>
      </w:pPr>
      <w:r>
        <w:rPr>
          <w:rFonts w:ascii="Calibri" w:hAnsi="Calibri" w:cs="Times New Roman"/>
          <w:color w:val="000000" w:themeColor="text1"/>
          <w:lang w:eastAsia="pt-BR"/>
        </w:rPr>
        <w:t xml:space="preserve">_______________________________________</w:t>
      </w:r>
      <w:r>
        <w:rPr>
          <w:rFonts w:ascii="Calibri" w:hAnsi="Calibri" w:cs="Times New Roman"/>
          <w:color w:val="000000" w:themeColor="text1"/>
          <w:lang w:eastAsia="pt-BR"/>
        </w:rPr>
      </w:r>
    </w:p>
    <w:p>
      <w:pPr>
        <w:pStyle w:val="712"/>
        <w:jc w:val="center"/>
        <w:rPr>
          <w:rFonts w:ascii="Calibri" w:hAnsi="Calibri" w:cs="Verdana"/>
          <w:b/>
          <w:bCs/>
          <w:color w:val="000000" w:themeColor="text1"/>
          <w:lang w:eastAsia="pt-BR" w:bidi="ar-SA"/>
        </w:rPr>
      </w:pPr>
      <w:r>
        <w:rPr>
          <w:rFonts w:ascii="Calibri" w:hAnsi="Calibri" w:cs="Verdana"/>
          <w:b/>
          <w:bCs/>
          <w:color w:val="000000" w:themeColor="text1"/>
          <w:lang w:eastAsia="pt-BR" w:bidi="ar-SA"/>
        </w:rPr>
        <w:t xml:space="preserve">ORDENADOR DE DESPESAS</w:t>
      </w:r>
      <w:r>
        <w:rPr>
          <w:rFonts w:ascii="Calibri" w:hAnsi="Calibri" w:cs="Verdana"/>
          <w:b/>
          <w:bCs/>
          <w:color w:val="000000" w:themeColor="text1"/>
          <w:lang w:eastAsia="pt-BR" w:bidi="ar-SA"/>
        </w:rPr>
      </w:r>
    </w:p>
    <w:p>
      <w:pPr>
        <w:pStyle w:val="712"/>
        <w:jc w:val="center"/>
        <w:rPr>
          <w:rFonts w:ascii="Calibri" w:hAnsi="Calibri" w:cs="Verdana"/>
          <w:b/>
          <w:bCs/>
          <w:color w:val="000000" w:themeColor="text1"/>
          <w:lang w:eastAsia="pt-BR" w:bidi="ar-SA"/>
        </w:rPr>
      </w:pPr>
      <w:r>
        <w:rPr>
          <w:rFonts w:ascii="Calibri" w:hAnsi="Calibri" w:cs="Verdana"/>
          <w:b/>
          <w:bCs/>
          <w:color w:val="000000" w:themeColor="text1"/>
          <w:lang w:eastAsia="pt-BR" w:bidi="ar-SA"/>
        </w:rPr>
        <w:t xml:space="preserve">SECRETARIA/FUNDAÇÃO/AGÊNCIA, ETC.</w:t>
      </w:r>
      <w:r>
        <w:rPr>
          <w:rFonts w:ascii="Calibri" w:hAnsi="Calibri" w:cs="Verdana"/>
          <w:b/>
          <w:bCs/>
          <w:color w:val="000000" w:themeColor="text1"/>
          <w:lang w:eastAsia="pt-BR" w:bidi="ar-SA"/>
        </w:rPr>
      </w:r>
    </w:p>
    <w:p>
      <w:pPr>
        <w:pStyle w:val="712"/>
        <w:jc w:val="center"/>
        <w:rPr>
          <w:rFonts w:ascii="Calibri" w:hAnsi="Calibri" w:cs="Verdana"/>
          <w:b/>
          <w:bCs/>
          <w:color w:val="000000" w:themeColor="text1"/>
          <w:lang w:eastAsia="pt-BR" w:bidi="ar-SA"/>
        </w:rPr>
      </w:pPr>
      <w:r>
        <w:rPr>
          <w:rFonts w:ascii="Calibri" w:hAnsi="Calibri" w:cs="Verdana"/>
          <w:b/>
          <w:bCs/>
          <w:color w:val="000000" w:themeColor="text1"/>
          <w:lang w:eastAsia="pt-BR" w:bidi="ar-SA"/>
        </w:rPr>
        <w:t xml:space="preserve">PORTARIA “P” N.º ________</w:t>
      </w:r>
      <w:r>
        <w:rPr>
          <w:rFonts w:ascii="Calibri" w:hAnsi="Calibri" w:cs="Verdana"/>
          <w:b/>
          <w:bCs/>
          <w:color w:val="000000" w:themeColor="text1"/>
          <w:lang w:eastAsia="pt-BR" w:bidi="ar-SA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both"/>
        <w:spacing w:line="276" w:lineRule="auto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center"/>
        <w:rPr>
          <w:rFonts w:ascii="Calibri" w:hAnsi="Calibri"/>
          <w:color w:val="000000" w:themeColor="text1"/>
          <w:lang w:eastAsia="pt-BR"/>
        </w:rPr>
      </w:pPr>
      <w:r>
        <w:rPr>
          <w:rFonts w:ascii="Calibri" w:hAnsi="Calibri"/>
          <w:color w:val="000000" w:themeColor="text1"/>
          <w:lang w:eastAsia="pt-BR"/>
        </w:rPr>
      </w:r>
      <w:r>
        <w:rPr>
          <w:rFonts w:ascii="Calibri" w:hAnsi="Calibri"/>
          <w:color w:val="000000" w:themeColor="text1"/>
          <w:lang w:eastAsia="pt-BR"/>
        </w:rPr>
      </w:r>
    </w:p>
    <w:p>
      <w:pPr>
        <w:pStyle w:val="712"/>
        <w:jc w:val="center"/>
        <w:rPr>
          <w:color w:val="ff0000"/>
        </w:rPr>
      </w:pPr>
      <w:r/>
      <w:r>
        <w:rPr>
          <w:color w:val="ff0000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77" w:right="1134" w:bottom="850" w:left="1134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MS Sans Serif">
    <w:panose1 w:val="02000603000000000000"/>
  </w:font>
  <w:font w:name="Segoe UI">
    <w:panose1 w:val="020B0502040204020203"/>
  </w:font>
  <w:font w:name="Tahoma">
    <w:panose1 w:val="020B060403050404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Calibri">
    <w:panose1 w:val="020F0502020204030204"/>
  </w:font>
  <w:font w:name="0">
    <w:panose1 w:val="02000603000000000000"/>
  </w:font>
  <w:font w:name="Segoe UI Light">
    <w:panose1 w:val="020B0502040204020203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OpenSymbol, &amp;apos;Arial Unicode MS&amp;apos;">
    <w:panose1 w:val="05010000000000000000"/>
  </w:font>
  <w:font w:name="Liberation Serif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  <w:jc w:val="right"/>
    </w:pPr>
    <w:r/>
    <w:r/>
  </w:p>
  <w:p>
    <w:pPr>
      <w:pStyle w:val="719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8</w:t>
    </w:r>
    <w:r>
      <w:fldChar w:fldCharType="end"/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  <w:rPr>
        <w:b/>
        <w:position w:val="0"/>
        <w:sz w:val="24"/>
        <w:vertAlign w:val="baseline"/>
      </w:rPr>
    </w:pPr>
    <w:r>
      <w:rPr>
        <w:b/>
        <w:position w:val="0"/>
        <w:sz w:val="24"/>
        <w:vertAlign w:val="baselin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9" behindDoc="1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-232410</wp:posOffset>
              </wp:positionV>
              <wp:extent cx="2777490" cy="804545"/>
              <wp:effectExtent l="0" t="0" r="0" b="0"/>
              <wp:wrapSquare wrapText="bothSides"/>
              <wp:docPr id="1" name="Figura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-13" t="-44" r="-13" b="-43"/>
                      <a:stretch/>
                    </pic:blipFill>
                    <pic:spPr bwMode="auto">
                      <a:xfrm>
                        <a:off x="0" y="0"/>
                        <a:ext cx="2777490" cy="804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9;o:allowoverlap:true;o:allowincell:true;mso-position-horizontal-relative:text;margin-left:1.25pt;mso-position-horizontal:absolute;mso-position-vertical-relative:text;margin-top:-18.30pt;mso-position-vertical:absolute;width:218.70pt;height:63.35pt;mso-wrap-distance-left:0.00pt;mso-wrap-distance-top:0.00pt;mso-wrap-distance-right:0.00pt;mso-wrap-distance-bottom:0.00pt;" stroked="false">
              <v:path textboxrect="0,0,0,0"/>
              <w10:wrap type="square"/>
              <v:imagedata r:id="rId1" o:title=""/>
            </v:shape>
          </w:pict>
        </mc:Fallback>
      </mc:AlternateContent>
    </w:r>
    <w:r>
      <w:rPr>
        <w:b/>
        <w:position w:val="0"/>
        <w:sz w:val="24"/>
        <w:vertAlign w:val="baseline"/>
      </w:rPr>
    </w:r>
  </w:p>
  <w:p>
    <w:pPr>
      <w:pStyle w:val="685"/>
      <w:ind w:left="0" w:right="0" w:firstLine="0"/>
      <w:jc w:val="right"/>
      <w:spacing w:line="1" w:lineRule="atLeast"/>
      <w:widowControl/>
    </w:pPr>
    <w:r>
      <w:rPr>
        <w:rFonts w:ascii="Segoe UI Light" w:hAnsi="Segoe UI Light" w:eastAsia="Times New Roman" w:cs="Segoe UI"/>
        <w:b w:val="0"/>
        <w:bCs w:val="0"/>
        <w:i w:val="0"/>
        <w:caps w:val="0"/>
        <w:smallCaps w:val="0"/>
        <w:strike w:val="0"/>
        <w:color w:val="000000"/>
        <w:position w:val="0"/>
        <w:sz w:val="22"/>
        <w:szCs w:val="22"/>
        <w:u w:val="none"/>
        <w:shd w:val="clear" w:color="auto" w:fill="auto"/>
        <w:vertAlign w:val="baseline"/>
      </w:rPr>
      <w:t xml:space="preserve">Secretaria Municipal de</w:t>
    </w:r>
    <w:r>
      <w:rPr>
        <w:rFonts w:ascii="Segoe UI" w:hAnsi="Segoe UI" w:eastAsia="Times New Roman" w:cs="Segoe UI"/>
        <w:b/>
        <w:i w:val="0"/>
        <w:caps w:val="0"/>
        <w:smallCaps w:val="0"/>
        <w: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  <w:t xml:space="preserve"> </w:t>
    </w:r>
    <w:r/>
  </w:p>
  <w:p>
    <w:pPr>
      <w:pStyle w:val="685"/>
      <w:ind w:left="0" w:right="0" w:firstLine="0"/>
      <w:jc w:val="right"/>
      <w:spacing w:before="0" w:after="0" w:line="1" w:lineRule="atLeast"/>
      <w:widowControl/>
      <w:rPr>
        <w:rFonts w:ascii="Times New Roman" w:hAnsi="Times New Roman" w:cs="Times New Roman"/>
        <w:b/>
        <w:sz w:val="18"/>
        <w:szCs w:val="18"/>
      </w:rPr>
      <w:pBdr>
        <w:bottom w:val="single" w:color="000000" w:sz="4" w:space="1"/>
      </w:pBdr>
    </w:pPr>
    <w:r>
      <w:rPr>
        <w:rFonts w:ascii="Segoe UI" w:hAnsi="Segoe UI" w:eastAsia="Cambria" w:cs="Times New Roman" w:eastAsiaTheme="minorHAnsi"/>
        <w:b/>
        <w:bCs/>
        <w:i w:val="0"/>
        <w:caps w:val="0"/>
        <w:smallCaps w:val="0"/>
        <w:strike w:val="0"/>
        <w:color w:val="000000"/>
        <w:spacing w:val="10"/>
        <w:position w:val="0"/>
        <w:sz w:val="24"/>
        <w:szCs w:val="24"/>
        <w:u w:val="none"/>
        <w:vertAlign w:val="baseline"/>
        <w:lang w:val="pt-BR" w:eastAsia="en-US" w:bidi="ar-SA"/>
      </w:rPr>
      <w:t xml:space="preserve">XXXX e XXXXXXXX</w:t>
    </w:r>
    <w:r>
      <w:rPr>
        <w:rFonts w:ascii="Times New Roman" w:hAnsi="Times New Roman" w:cs="Times New Roman"/>
        <w:b/>
        <w:sz w:val="18"/>
        <w:szCs w:val="1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Calibri" w:hAnsi="Calibri"/>
        <w:b/>
        <w:bCs/>
        <w:highlight w:val="none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</w:pPr>
      <w:rPr>
        <w:b/>
        <w:bCs/>
      </w:r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  <w:rPr>
        <w:b/>
        <w:bCs/>
      </w:r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  <w:rPr>
        <w:b/>
        <w:bCs/>
      </w:r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  <w:rPr>
        <w:b/>
        <w:bCs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  <w:rPr>
        <w:b/>
        <w:bCs/>
      </w:r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  <w:rPr>
        <w:b/>
        <w:bCs/>
      </w:r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  <w:rPr>
        <w:b/>
        <w:bCs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1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2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3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4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5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  <w:lvl w:ilvl="6">
      <w:start w:val="1"/>
      <w:numFmt w:val="bullet"/>
      <w:isLgl w:val="false"/>
      <w:suff w:val="tab"/>
      <w:lvlText w:val=""/>
      <w:lvlJc w:val="left"/>
      <w:pPr>
        <w:ind w:left="0" w:firstLine="0"/>
      </w:pPr>
      <w:rPr>
        <w:rFonts w:cs="OpenSymbol, 'Arial Unicode MS'"/>
      </w:rPr>
    </w:lvl>
    <w:lvl w:ilvl="7">
      <w:start w:val="1"/>
      <w:numFmt w:val="bullet"/>
      <w:isLgl w:val="false"/>
      <w:suff w:val="tab"/>
      <w:lvlText w:val="◦"/>
      <w:lvlJc w:val="left"/>
      <w:pPr>
        <w:ind w:left="0" w:firstLine="0"/>
      </w:pPr>
      <w:rPr>
        <w:rFonts w:cs="OpenSymbol, 'Arial Unicode MS'"/>
      </w:rPr>
    </w:lvl>
    <w:lvl w:ilvl="8">
      <w:start w:val="1"/>
      <w:numFmt w:val="bullet"/>
      <w:isLgl w:val="false"/>
      <w:suff w:val="tab"/>
      <w:lvlText w:val="▪"/>
      <w:lvlJc w:val="left"/>
      <w:pPr>
        <w:ind w:left="0" w:firstLine="0"/>
      </w:pPr>
      <w:rPr>
        <w:rFonts w:cs="OpenSymbol, 'Arial Unicode MS'"/>
      </w:rPr>
    </w:lvl>
  </w:abstractNum>
  <w:abstractNum w:abstractNumId="8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0" w:firstLine="0"/>
      </w:pPr>
      <w:rPr>
        <w:b/>
        <w:bCs/>
        <w:highlight w:val="none"/>
      </w:r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</w:pPr>
      <w:rPr>
        <w:b/>
        <w:bCs/>
      </w:r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  <w:rPr>
        <w:b/>
        <w:bCs/>
      </w:r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  <w:rPr>
        <w:b/>
        <w:bCs/>
      </w:r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  <w:rPr>
        <w:b/>
        <w:bCs/>
      </w:r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  <w:rPr>
        <w:b/>
        <w:bCs/>
      </w:r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  <w:rPr>
        <w:b/>
        <w:bCs/>
      </w:r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  <w:rPr>
        <w:b/>
        <w:bCs/>
      </w:r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  <w:rPr>
        <w:b/>
        <w:bCs/>
      </w:r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5"/>
    <w:next w:val="68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5"/>
    <w:next w:val="68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5"/>
    <w:next w:val="68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5"/>
    <w:next w:val="68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5"/>
    <w:next w:val="68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5"/>
    <w:next w:val="68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5"/>
    <w:next w:val="68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5"/>
    <w:next w:val="68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5"/>
    <w:next w:val="68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5"/>
    <w:next w:val="68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6"/>
    <w:link w:val="34"/>
    <w:uiPriority w:val="10"/>
    <w:rPr>
      <w:sz w:val="48"/>
      <w:szCs w:val="48"/>
    </w:rPr>
  </w:style>
  <w:style w:type="paragraph" w:styleId="36">
    <w:name w:val="Subtitle"/>
    <w:basedOn w:val="685"/>
    <w:next w:val="68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6"/>
    <w:link w:val="36"/>
    <w:uiPriority w:val="11"/>
    <w:rPr>
      <w:sz w:val="24"/>
      <w:szCs w:val="24"/>
    </w:rPr>
  </w:style>
  <w:style w:type="paragraph" w:styleId="38">
    <w:name w:val="Quote"/>
    <w:basedOn w:val="685"/>
    <w:next w:val="68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5"/>
    <w:next w:val="68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6"/>
    <w:link w:val="716"/>
    <w:uiPriority w:val="99"/>
  </w:style>
  <w:style w:type="character" w:styleId="45">
    <w:name w:val="Footer Char"/>
    <w:basedOn w:val="686"/>
    <w:link w:val="719"/>
    <w:uiPriority w:val="99"/>
  </w:style>
  <w:style w:type="character" w:styleId="47">
    <w:name w:val="Caption Char"/>
    <w:basedOn w:val="714"/>
    <w:link w:val="719"/>
    <w:uiPriority w:val="99"/>
  </w:style>
  <w:style w:type="table" w:styleId="48">
    <w:name w:val="Table Grid"/>
    <w:basedOn w:val="72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6"/>
    <w:uiPriority w:val="99"/>
    <w:unhideWhenUsed/>
    <w:rPr>
      <w:vertAlign w:val="superscript"/>
    </w:rPr>
  </w:style>
  <w:style w:type="paragraph" w:styleId="178">
    <w:name w:val="endnote text"/>
    <w:basedOn w:val="68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6"/>
    <w:uiPriority w:val="99"/>
    <w:semiHidden/>
    <w:unhideWhenUsed/>
    <w:rPr>
      <w:vertAlign w:val="superscript"/>
    </w:rPr>
  </w:style>
  <w:style w:type="paragraph" w:styleId="181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  <w:pPr>
      <w:jc w:val="left"/>
      <w:spacing w:before="0" w:after="0"/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character" w:styleId="686" w:default="1">
    <w:name w:val="Default Paragraph Font"/>
    <w:uiPriority w:val="1"/>
    <w:semiHidden/>
    <w:unhideWhenUsed/>
    <w:qFormat/>
  </w:style>
  <w:style w:type="character" w:styleId="687" w:customStyle="1">
    <w:name w:val="Símbolos de numeração"/>
    <w:qFormat/>
    <w:rPr>
      <w:b/>
      <w:bCs/>
    </w:rPr>
  </w:style>
  <w:style w:type="character" w:styleId="688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689">
    <w:name w:val="Título 1 Char"/>
    <w:qFormat/>
    <w:rPr>
      <w:rFonts w:ascii="Cambria" w:hAnsi="Cambria" w:eastAsia="0"/>
      <w:b/>
      <w:bCs/>
      <w:sz w:val="32"/>
      <w:szCs w:val="32"/>
    </w:rPr>
  </w:style>
  <w:style w:type="character" w:styleId="690">
    <w:name w:val="Título 2 Char"/>
    <w:qFormat/>
    <w:rPr>
      <w:rFonts w:ascii="Cambria" w:hAnsi="Cambria" w:eastAsia="0"/>
      <w:b/>
      <w:bCs/>
      <w:i/>
      <w:iCs/>
      <w:sz w:val="28"/>
      <w:szCs w:val="28"/>
    </w:rPr>
  </w:style>
  <w:style w:type="character" w:styleId="691">
    <w:name w:val="Título 3 Char"/>
    <w:qFormat/>
    <w:rPr>
      <w:rFonts w:ascii="Cambria" w:hAnsi="Cambria" w:eastAsia="0"/>
      <w:b/>
      <w:bCs/>
      <w:sz w:val="26"/>
      <w:szCs w:val="26"/>
    </w:rPr>
  </w:style>
  <w:style w:type="character" w:styleId="692">
    <w:name w:val="Título 4 Char"/>
    <w:qFormat/>
    <w:rPr>
      <w:rFonts w:ascii="Calibri" w:hAnsi="Calibri" w:eastAsia="0"/>
      <w:b/>
      <w:bCs/>
      <w:sz w:val="28"/>
      <w:szCs w:val="28"/>
    </w:rPr>
  </w:style>
  <w:style w:type="character" w:styleId="693">
    <w:name w:val="Título 5 Char"/>
    <w:qFormat/>
    <w:rPr>
      <w:rFonts w:ascii="Calibri" w:hAnsi="Calibri" w:eastAsia="0"/>
      <w:b/>
      <w:bCs/>
      <w:i/>
      <w:iCs/>
      <w:sz w:val="26"/>
      <w:szCs w:val="26"/>
    </w:rPr>
  </w:style>
  <w:style w:type="character" w:styleId="694">
    <w:name w:val="Título 6 Char"/>
    <w:qFormat/>
    <w:rPr>
      <w:rFonts w:ascii="Calibri" w:hAnsi="Calibri" w:eastAsia="0"/>
      <w:b/>
      <w:bCs/>
    </w:rPr>
  </w:style>
  <w:style w:type="character" w:styleId="695">
    <w:name w:val="Título 7 Char"/>
    <w:qFormat/>
    <w:rPr>
      <w:rFonts w:ascii="Calibri" w:hAnsi="Calibri" w:eastAsia="0"/>
    </w:rPr>
  </w:style>
  <w:style w:type="character" w:styleId="696">
    <w:name w:val="Título 8 Char"/>
    <w:qFormat/>
    <w:rPr>
      <w:rFonts w:ascii="Calibri" w:hAnsi="Calibri" w:eastAsia="0"/>
      <w:i/>
      <w:iCs/>
    </w:rPr>
  </w:style>
  <w:style w:type="character" w:styleId="697">
    <w:name w:val="Título 9 Char"/>
    <w:qFormat/>
    <w:rPr>
      <w:rFonts w:ascii="Cambria" w:hAnsi="Cambria" w:eastAsia="0"/>
    </w:rPr>
  </w:style>
  <w:style w:type="character" w:styleId="698">
    <w:name w:val="Cabeçalho Char"/>
    <w:qFormat/>
    <w:rPr>
      <w:sz w:val="20"/>
    </w:rPr>
  </w:style>
  <w:style w:type="character" w:styleId="699">
    <w:name w:val="Corpo de texto 2 Char"/>
    <w:qFormat/>
    <w:rPr>
      <w:sz w:val="20"/>
    </w:rPr>
  </w:style>
  <w:style w:type="character" w:styleId="700">
    <w:name w:val="Recuo de corpo de texto 3 Char"/>
    <w:qFormat/>
    <w:rPr>
      <w:sz w:val="16"/>
    </w:rPr>
  </w:style>
  <w:style w:type="character" w:styleId="701">
    <w:name w:val="Corpo de texto 3 Char"/>
    <w:qFormat/>
    <w:rPr>
      <w:sz w:val="16"/>
    </w:rPr>
  </w:style>
  <w:style w:type="character" w:styleId="702">
    <w:name w:val="Corpo de texto Char"/>
    <w:qFormat/>
    <w:rPr>
      <w:sz w:val="20"/>
    </w:rPr>
  </w:style>
  <w:style w:type="character" w:styleId="703">
    <w:name w:val="Rodapé Char"/>
    <w:qFormat/>
    <w:rPr>
      <w:sz w:val="20"/>
    </w:rPr>
  </w:style>
  <w:style w:type="character" w:styleId="704">
    <w:name w:val="Parte inferior do formulário Char"/>
    <w:qFormat/>
    <w:rPr>
      <w:rFonts w:ascii="Arial" w:hAnsi="Arial" w:cs="Arial"/>
      <w:vanish/>
      <w:sz w:val="16"/>
      <w:szCs w:val="16"/>
    </w:rPr>
  </w:style>
  <w:style w:type="character" w:styleId="705">
    <w:name w:val="Título Char"/>
    <w:qFormat/>
    <w:rPr>
      <w:rFonts w:ascii="Cambria" w:hAnsi="Cambria" w:eastAsia="0"/>
      <w:b/>
      <w:bCs/>
      <w:sz w:val="32"/>
      <w:szCs w:val="32"/>
    </w:rPr>
  </w:style>
  <w:style w:type="character" w:styleId="706">
    <w:name w:val="Texto de balão Char"/>
    <w:qFormat/>
    <w:rPr>
      <w:sz w:val="0"/>
    </w:rPr>
  </w:style>
  <w:style w:type="paragraph" w:styleId="707" w:customStyle="1">
    <w:name w:val="Título"/>
    <w:basedOn w:val="712"/>
    <w:next w:val="713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708">
    <w:name w:val="Body Text"/>
    <w:basedOn w:val="685"/>
    <w:pPr>
      <w:spacing w:before="0" w:after="140" w:line="276" w:lineRule="auto"/>
    </w:pPr>
  </w:style>
  <w:style w:type="paragraph" w:styleId="709">
    <w:name w:val="List"/>
    <w:basedOn w:val="713"/>
  </w:style>
  <w:style w:type="paragraph" w:styleId="710">
    <w:name w:val="Caption"/>
    <w:basedOn w:val="685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1" w:customStyle="1">
    <w:name w:val="Índice"/>
    <w:basedOn w:val="712"/>
    <w:qFormat/>
    <w:pPr>
      <w:suppressLineNumbers/>
    </w:pPr>
  </w:style>
  <w:style w:type="paragraph" w:styleId="712" w:customStyle="1">
    <w:name w:val="Standard"/>
    <w:qFormat/>
    <w:pPr>
      <w:jc w:val="left"/>
      <w:spacing w:before="0" w:after="0"/>
      <w:widowControl/>
    </w:pPr>
    <w:rPr>
      <w:rFonts w:ascii="Liberation Serif" w:hAnsi="Liberation Serif" w:eastAsia="SimSun" w:cs="Arial"/>
      <w:color w:val="auto"/>
      <w:sz w:val="24"/>
      <w:szCs w:val="24"/>
      <w:lang w:val="pt-BR" w:eastAsia="zh-CN" w:bidi="hi-IN"/>
    </w:rPr>
  </w:style>
  <w:style w:type="paragraph" w:styleId="713" w:customStyle="1">
    <w:name w:val="Text body"/>
    <w:basedOn w:val="712"/>
    <w:qFormat/>
    <w:pPr>
      <w:spacing w:before="0" w:after="140" w:line="276" w:lineRule="auto"/>
    </w:pPr>
  </w:style>
  <w:style w:type="paragraph" w:styleId="714">
    <w:name w:val="Caption"/>
    <w:basedOn w:val="712"/>
    <w:qFormat/>
    <w:pPr>
      <w:spacing w:before="120" w:after="120"/>
      <w:suppressLineNumbers/>
    </w:pPr>
    <w:rPr>
      <w:i/>
      <w:iCs/>
    </w:rPr>
  </w:style>
  <w:style w:type="paragraph" w:styleId="715">
    <w:name w:val="Cabeçalho e Rodapé"/>
    <w:basedOn w:val="685"/>
    <w:qFormat/>
  </w:style>
  <w:style w:type="paragraph" w:styleId="716">
    <w:name w:val="Header"/>
    <w:basedOn w:val="712"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717" w:customStyle="1">
    <w:name w:val="Conteúdo da tabela"/>
    <w:basedOn w:val="712"/>
    <w:qFormat/>
    <w:pPr>
      <w:suppressLineNumbers/>
    </w:pPr>
  </w:style>
  <w:style w:type="paragraph" w:styleId="718">
    <w:name w:val="Body Text 2"/>
    <w:basedOn w:val="712"/>
    <w:qFormat/>
    <w:pPr>
      <w:spacing w:before="0" w:after="120" w:line="480" w:lineRule="auto"/>
    </w:pPr>
    <w:rPr>
      <w:rFonts w:cs="Times New Roman"/>
    </w:rPr>
  </w:style>
  <w:style w:type="paragraph" w:styleId="719">
    <w:name w:val="Footer"/>
    <w:basedOn w:val="712"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720" w:customStyle="1">
    <w:name w:val="Título de tabela"/>
    <w:basedOn w:val="717"/>
    <w:qFormat/>
    <w:pPr>
      <w:jc w:val="center"/>
    </w:pPr>
    <w:rPr>
      <w:b/>
      <w:bCs/>
    </w:rPr>
  </w:style>
  <w:style w:type="paragraph" w:styleId="721">
    <w:name w:val="Body Text Indent 3"/>
    <w:basedOn w:val="685"/>
    <w:qFormat/>
    <w:pPr>
      <w:ind w:left="426" w:firstLine="0"/>
      <w:jc w:val="both"/>
    </w:pPr>
    <w:rPr>
      <w:b/>
      <w:lang w:val="hi-IN"/>
    </w:rPr>
  </w:style>
  <w:style w:type="paragraph" w:styleId="722">
    <w:name w:val="Body Text 3"/>
    <w:basedOn w:val="685"/>
    <w:qFormat/>
    <w:pPr>
      <w:spacing w:before="0" w:after="120"/>
    </w:pPr>
    <w:rPr>
      <w:sz w:val="16"/>
      <w:lang w:val="hi-IN"/>
    </w:rPr>
  </w:style>
  <w:style w:type="paragraph" w:styleId="723">
    <w:name w:val="HTML Bottom of Form"/>
    <w:basedOn w:val="685"/>
    <w:qFormat/>
    <w:pPr>
      <w:jc w:val="center"/>
      <w:pBdr>
        <w:top w:val="single" w:color="000000" w:sz="6" w:space="1"/>
      </w:pBdr>
    </w:pPr>
    <w:rPr>
      <w:rFonts w:ascii="Arial" w:hAnsi="Arial" w:cs="Arial"/>
      <w:vanish/>
      <w:sz w:val="16"/>
      <w:szCs w:val="16"/>
      <w:lang w:eastAsia="ar-SA" w:bidi="hi-IN"/>
    </w:rPr>
  </w:style>
  <w:style w:type="paragraph" w:styleId="724">
    <w:name w:val="Balloon Text"/>
    <w:basedOn w:val="685"/>
    <w:qFormat/>
    <w:rPr>
      <w:rFonts w:ascii="Tahoma" w:hAnsi="Tahoma" w:eastAsia="Tahoma"/>
      <w:sz w:val="16"/>
      <w:szCs w:val="16"/>
      <w:lang w:eastAsia="hi-IN"/>
    </w:rPr>
  </w:style>
  <w:style w:type="numbering" w:styleId="725" w:default="1">
    <w:name w:val="No List"/>
    <w:uiPriority w:val="99"/>
    <w:semiHidden/>
    <w:unhideWhenUsed/>
    <w:qFormat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Viana Ito</dc:creator>
  <dc:description/>
  <dc:language>pt-BR</dc:language>
  <cp:revision>54</cp:revision>
  <dcterms:modified xsi:type="dcterms:W3CDTF">2023-10-03T16:07:56Z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